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i w:val="0"/>
          <w:iCs w:val="0"/>
          <w:smallCaps w:val="0"/>
          <w:strike w:val="0"/>
          <w:color w:val="1b3a4b"/>
          <w:sz w:val="52"/>
          <w:szCs w:val="52"/>
          <w:u w:val="none"/>
          <w:shd w:fill="auto" w:val="clear"/>
          <w:vertAlign w:val="baseline"/>
        </w:rPr>
      </w:pPr>
      <w:r w:rsidDel="00000000" w:rsidR="00000000" w:rsidRPr="00000000">
        <w:rPr>
          <w:rFonts w:ascii="Arial" w:cs="Arial" w:eastAsia="Arial" w:hAnsi="Arial"/>
          <w:b w:val="1"/>
          <w:bCs w:val="1"/>
          <w:i w:val="0"/>
          <w:iCs w:val="0"/>
          <w:smallCaps w:val="0"/>
          <w:strike w:val="0"/>
          <w:color w:val="1b3a4b"/>
          <w:sz w:val="52"/>
          <w:szCs w:val="52"/>
          <w:u w:val="none"/>
          <w:shd w:fill="auto" w:val="clear"/>
          <w:vertAlign w:val="baseline"/>
          <w:rtl w:val="0"/>
        </w:rPr>
        <w:t xml:space="preserve">THE 30-DAY </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3.160400390625" w:line="240" w:lineRule="auto"/>
        <w:ind w:left="0" w:right="0" w:firstLine="0"/>
        <w:jc w:val="center"/>
        <w:rPr>
          <w:rFonts w:ascii="Arial" w:cs="Arial" w:eastAsia="Arial" w:hAnsi="Arial"/>
          <w:b w:val="1"/>
          <w:bCs w:val="1"/>
          <w:i w:val="0"/>
          <w:iCs w:val="0"/>
          <w:smallCaps w:val="0"/>
          <w:strike w:val="0"/>
          <w:color w:val="1b3a4b"/>
          <w:sz w:val="52"/>
          <w:szCs w:val="52"/>
          <w:u w:val="none"/>
          <w:shd w:fill="auto" w:val="clear"/>
          <w:vertAlign w:val="baseline"/>
        </w:rPr>
      </w:pPr>
      <w:r w:rsidDel="00000000" w:rsidR="00000000" w:rsidRPr="00000000">
        <w:rPr>
          <w:rFonts w:ascii="Arial" w:cs="Arial" w:eastAsia="Arial" w:hAnsi="Arial"/>
          <w:b w:val="1"/>
          <w:bCs w:val="1"/>
          <w:i w:val="0"/>
          <w:iCs w:val="0"/>
          <w:smallCaps w:val="0"/>
          <w:strike w:val="0"/>
          <w:color w:val="1b3a4b"/>
          <w:sz w:val="52"/>
          <w:szCs w:val="52"/>
          <w:u w:val="none"/>
          <w:shd w:fill="auto" w:val="clear"/>
          <w:vertAlign w:val="baseline"/>
          <w:rtl w:val="0"/>
        </w:rPr>
        <w:t xml:space="preserve">BRAIN HEALTH PROTOCOL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3.160400390625" w:line="271.32001876831055" w:lineRule="auto"/>
        <w:ind w:left="87.93998718261719" w:right="39.94140625" w:firstLine="0"/>
        <w:jc w:val="center"/>
        <w:rPr>
          <w:rFonts w:ascii="Arial" w:cs="Arial" w:eastAsia="Arial" w:hAnsi="Arial"/>
          <w:b w:val="0"/>
          <w:bCs w:val="0"/>
          <w:i w:val="0"/>
          <w:iCs w:val="0"/>
          <w:smallCaps w:val="0"/>
          <w:strike w:val="0"/>
          <w:color w:val="0f6b5c"/>
          <w:sz w:val="28"/>
          <w:szCs w:val="28"/>
          <w:u w:val="none"/>
          <w:shd w:fill="auto" w:val="clear"/>
          <w:vertAlign w:val="baseline"/>
        </w:rPr>
      </w:pPr>
      <w:r w:rsidDel="00000000" w:rsidR="00000000" w:rsidRPr="00000000">
        <w:rPr>
          <w:rFonts w:ascii="Arial" w:cs="Arial" w:eastAsia="Arial" w:hAnsi="Arial"/>
          <w:b w:val="0"/>
          <w:bCs w:val="0"/>
          <w:i w:val="0"/>
          <w:iCs w:val="0"/>
          <w:smallCaps w:val="0"/>
          <w:strike w:val="0"/>
          <w:color w:val="0f6b5c"/>
          <w:sz w:val="28"/>
          <w:szCs w:val="28"/>
          <w:u w:val="none"/>
          <w:shd w:fill="auto" w:val="clear"/>
          <w:vertAlign w:val="baseline"/>
          <w:rtl w:val="0"/>
        </w:rPr>
        <w:t xml:space="preserve">An Evidence-Graded, Honest Guide to Lowering Dementia Risk Factors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6.700439453125" w:line="288.77331733703613" w:lineRule="auto"/>
        <w:ind w:left="68.98002624511719" w:right="37.998046875" w:firstLine="4.499969482421875"/>
        <w:jc w:val="left"/>
        <w:rPr>
          <w:rFonts w:ascii="Arial" w:cs="Arial" w:eastAsia="Arial" w:hAnsi="Arial"/>
          <w:b w:val="0"/>
          <w:bCs w:val="0"/>
          <w:i w:val="0"/>
          <w:iCs w:val="0"/>
          <w:smallCaps w:val="0"/>
          <w:strike w:val="0"/>
          <w:color w:val="5a5a5a"/>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5a5a5a"/>
          <w:sz w:val="18"/>
          <w:szCs w:val="18"/>
          <w:u w:val="none"/>
          <w:shd w:fill="auto" w:val="clear"/>
          <w:vertAlign w:val="baseline"/>
          <w:rtl w:val="0"/>
        </w:rPr>
        <w:t xml:space="preserve">Educational material, not medical advice. This program does not diagnose, treat, prevent, or cure Alzheimer's disease or any form of dementia. Speak with a licensed clinician before making any changes to diet, exercise, supplements, hormones, or medication, and get a professional evaluation for any new memory or thinking changes. </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13.3599853515625" w:line="289.88402366638184" w:lineRule="auto"/>
        <w:ind w:left="60.800018310546875" w:right="151.402587890625" w:firstLine="0.4000091552734375"/>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Who this is for: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Adults who want a practical, honest, evidence-</w:t>
      </w:r>
      <w:r w:rsidDel="00000000" w:rsidR="00000000" w:rsidRPr="00000000">
        <w:rPr>
          <w:sz w:val="20"/>
          <w:szCs w:val="20"/>
          <w:rtl w:val="0"/>
        </w:rPr>
        <w:t xml:space="preserve">based</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approach to brain health — especially those with a family history of dementia, high blood pressure, high blood sugar, extra weight, poor sleep, or low fitness. Use this alongside your existing medical care, never instead of it.</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3.84002685546875" w:right="0" w:firstLine="0"/>
        <w:jc w:val="left"/>
        <w:rPr>
          <w:rFonts w:ascii="Arial" w:cs="Arial" w:eastAsia="Arial" w:hAnsi="Arial"/>
          <w:b w:val="1"/>
          <w:bCs w:val="1"/>
          <w:i w:val="0"/>
          <w:iCs w:val="0"/>
          <w:smallCaps w:val="0"/>
          <w:strike w:val="0"/>
          <w:color w:val="1b3a4b"/>
          <w:sz w:val="34"/>
          <w:szCs w:val="34"/>
          <w:u w:val="none"/>
          <w:shd w:fill="auto" w:val="clear"/>
          <w:vertAlign w:val="baseline"/>
        </w:rPr>
      </w:pPr>
      <w:r w:rsidDel="00000000" w:rsidR="00000000" w:rsidRPr="00000000">
        <w:rPr>
          <w:rFonts w:ascii="Arial" w:cs="Arial" w:eastAsia="Arial" w:hAnsi="Arial"/>
          <w:b w:val="1"/>
          <w:bCs w:val="1"/>
          <w:i w:val="0"/>
          <w:iCs w:val="0"/>
          <w:smallCaps w:val="0"/>
          <w:strike w:val="0"/>
          <w:color w:val="1b3a4b"/>
          <w:sz w:val="34"/>
          <w:szCs w:val="34"/>
          <w:u w:val="none"/>
          <w:shd w:fill="auto" w:val="clear"/>
          <w:vertAlign w:val="baseline"/>
          <w:rtl w:val="0"/>
        </w:rPr>
        <w:t xml:space="preserve">Read This First </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3.22021484375" w:line="289.88402366638184" w:lineRule="auto"/>
        <w:ind w:left="60.800018310546875" w:right="151.600341796875" w:firstLine="0"/>
        <w:jc w:val="left"/>
        <w:rPr>
          <w:sz w:val="20"/>
          <w:szCs w:val="20"/>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This program is a 30-day, evidence-based framework for lowering the risk factors linked to dementia. </w:t>
      </w:r>
      <w:r w:rsidDel="00000000" w:rsidR="00000000" w:rsidRPr="00000000">
        <w:rPr>
          <w:rtl w:val="0"/>
        </w:rPr>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3.22021484375" w:line="289.88402366638184" w:lineRule="auto"/>
        <w:ind w:left="60.800018310546875" w:right="151.600341796875" w:firstLine="0"/>
        <w:jc w:val="left"/>
        <w:rPr>
          <w:sz w:val="20"/>
          <w:szCs w:val="20"/>
        </w:rPr>
      </w:pPr>
      <w:r w:rsidDel="00000000" w:rsidR="00000000" w:rsidRPr="00000000">
        <w:rPr>
          <w:sz w:val="20"/>
          <w:szCs w:val="20"/>
          <w:rtl w:val="0"/>
        </w:rPr>
        <w:t xml:space="preserve">This program is best used with our Keto 12/3 Meal Plan with recipes and our Exercise Regimen.</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5.030517578125" w:line="240" w:lineRule="auto"/>
        <w:ind w:left="62.1600341796875" w:right="0" w:firstLine="0"/>
        <w:jc w:val="left"/>
        <w:rPr>
          <w:rFonts w:ascii="Arial" w:cs="Arial" w:eastAsia="Arial" w:hAnsi="Arial"/>
          <w:b w:val="1"/>
          <w:bCs w:val="1"/>
          <w:i w:val="0"/>
          <w:iCs w:val="0"/>
          <w:smallCaps w:val="0"/>
          <w:strike w:val="0"/>
          <w:color w:val="0f6b5c"/>
          <w:sz w:val="26"/>
          <w:szCs w:val="26"/>
          <w:u w:val="none"/>
          <w:shd w:fill="auto" w:val="clear"/>
          <w:vertAlign w:val="baseline"/>
        </w:rPr>
      </w:pPr>
      <w:r w:rsidDel="00000000" w:rsidR="00000000" w:rsidRPr="00000000">
        <w:rPr>
          <w:rFonts w:ascii="Arial" w:cs="Arial" w:eastAsia="Arial" w:hAnsi="Arial"/>
          <w:b w:val="1"/>
          <w:bCs w:val="1"/>
          <w:i w:val="0"/>
          <w:iCs w:val="0"/>
          <w:smallCaps w:val="0"/>
          <w:strike w:val="0"/>
          <w:color w:val="0f6b5c"/>
          <w:sz w:val="26"/>
          <w:szCs w:val="26"/>
          <w:u w:val="none"/>
          <w:shd w:fill="auto" w:val="clear"/>
          <w:vertAlign w:val="baseline"/>
          <w:rtl w:val="0"/>
        </w:rPr>
        <w:t xml:space="preserve">What This Program Is </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6.57958984375" w:line="276.07998847961426" w:lineRule="auto"/>
        <w:ind w:left="471.00006103515625" w:right="640.601806640625" w:hanging="409.9400329589844"/>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8.333333333333336"/>
          <w:szCs w:val="28.333333333333336"/>
          <w:u w:val="none"/>
          <w:shd w:fill="auto" w:val="clear"/>
          <w:vertAlign w:val="superscript"/>
          <w:rtl w:val="0"/>
        </w:rPr>
        <w:t xml:space="preserve">•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 structured 30-day plan built around six habit categories: food, movement, sleep, stress, social and mental engagement, and tracking a few basic health numbers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3.360595703125" w:line="240" w:lineRule="auto"/>
        <w:ind w:left="61.060028076171875"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8.333333333333336"/>
          <w:szCs w:val="28.333333333333336"/>
          <w:u w:val="none"/>
          <w:shd w:fill="auto" w:val="clear"/>
          <w:vertAlign w:val="superscript"/>
          <w:rtl w:val="0"/>
        </w:rPr>
        <w:t xml:space="preserve">• </w:t>
      </w:r>
      <w:r w:rsidDel="00000000" w:rsidR="00000000" w:rsidRPr="00000000">
        <w:rPr>
          <w:sz w:val="20"/>
          <w:szCs w:val="20"/>
          <w:rtl w:val="0"/>
        </w:rPr>
        <w:t xml:space="preserve">Our best defence against Alzheimer’s and dementia</w:t>
      </w:r>
      <w:r w:rsidDel="00000000" w:rsidR="00000000" w:rsidRPr="00000000">
        <w:rPr>
          <w:rtl w:val="0"/>
        </w:rPr>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4.930419921875" w:line="240" w:lineRule="auto"/>
        <w:ind w:left="62.1600341796875" w:right="0" w:firstLine="0"/>
        <w:jc w:val="left"/>
        <w:rPr>
          <w:rFonts w:ascii="Arial" w:cs="Arial" w:eastAsia="Arial" w:hAnsi="Arial"/>
          <w:b w:val="1"/>
          <w:bCs w:val="1"/>
          <w:i w:val="0"/>
          <w:iCs w:val="0"/>
          <w:smallCaps w:val="0"/>
          <w:strike w:val="0"/>
          <w:color w:val="0f6b5c"/>
          <w:sz w:val="26"/>
          <w:szCs w:val="26"/>
          <w:u w:val="none"/>
          <w:shd w:fill="auto" w:val="clear"/>
          <w:vertAlign w:val="baseline"/>
        </w:rPr>
      </w:pPr>
      <w:r w:rsidDel="00000000" w:rsidR="00000000" w:rsidRPr="00000000">
        <w:rPr>
          <w:rFonts w:ascii="Arial" w:cs="Arial" w:eastAsia="Arial" w:hAnsi="Arial"/>
          <w:b w:val="1"/>
          <w:bCs w:val="1"/>
          <w:i w:val="0"/>
          <w:iCs w:val="0"/>
          <w:smallCaps w:val="0"/>
          <w:strike w:val="0"/>
          <w:color w:val="0f6b5c"/>
          <w:sz w:val="26"/>
          <w:szCs w:val="26"/>
          <w:u w:val="none"/>
          <w:shd w:fill="auto" w:val="clear"/>
          <w:vertAlign w:val="baseline"/>
          <w:rtl w:val="0"/>
        </w:rPr>
        <w:t xml:space="preserve">What This Program Is Not </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6.57958984375" w:line="299.88000869750977" w:lineRule="auto"/>
        <w:ind w:left="61.060028076171875" w:right="825.001220703125"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8.333333333333336"/>
          <w:szCs w:val="28.333333333333336"/>
          <w:u w:val="none"/>
          <w:shd w:fill="auto" w:val="clear"/>
          <w:vertAlign w:val="superscript"/>
          <w:rtl w:val="0"/>
        </w:rPr>
        <w:t xml:space="preserve">•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Not individualized medical advice — This is not a replacement for a do</w:t>
      </w:r>
      <w:r w:rsidDel="00000000" w:rsidR="00000000" w:rsidRPr="00000000">
        <w:rPr>
          <w:sz w:val="20"/>
          <w:szCs w:val="20"/>
          <w:rtl w:val="0"/>
        </w:rPr>
        <w:t xml:space="preserve">ctors visit,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it does not know your labs, medications, or medical history</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6.57958984375" w:line="299.88000869750977" w:lineRule="auto"/>
        <w:ind w:left="61.060028076171875" w:right="825.001220703125"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8.333333333333336"/>
          <w:szCs w:val="28.333333333333336"/>
          <w:u w:val="none"/>
          <w:shd w:fill="auto" w:val="clear"/>
          <w:vertAlign w:val="superscript"/>
          <w:rtl w:val="0"/>
        </w:rPr>
        <w:t xml:space="preserve">•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Not a diagnosis — nothing here can tell you whether you have Alzheimer's disease, mild cognitive impairment, or normal aging </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5347900390625" w:line="276.07998847961426" w:lineRule="auto"/>
        <w:ind w:left="469.6000671386719" w:right="38.0029296875" w:hanging="408.5400390625"/>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8.333333333333336"/>
          <w:szCs w:val="28.333333333333336"/>
          <w:u w:val="none"/>
          <w:shd w:fill="auto" w:val="clear"/>
          <w:vertAlign w:val="superscript"/>
          <w:rtl w:val="0"/>
        </w:rPr>
        <w:t xml:space="preserve">•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Not a guaranteed prevention method — no diet, supplement, exercise plan, or program has been proven to prevent or cure Alzheimer's disease </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3.3599853515625" w:line="323.6800003051758" w:lineRule="auto"/>
        <w:ind w:left="61.060028076171875" w:right="191.6015625"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8.333333333333336"/>
          <w:szCs w:val="28.333333333333336"/>
          <w:u w:val="none"/>
          <w:shd w:fill="auto" w:val="clear"/>
          <w:vertAlign w:val="superscript"/>
          <w:rtl w:val="0"/>
        </w:rPr>
        <w:t xml:space="preserve">•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Not a treatment — no clinically validated lifestyle change has been shown to reverse Alzheimer's disease</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3.3599853515625" w:line="323.6800003051758" w:lineRule="auto"/>
        <w:ind w:left="61.060028076171875" w:right="191.6015625"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8.333333333333336"/>
          <w:szCs w:val="28.333333333333336"/>
          <w:u w:val="none"/>
          <w:shd w:fill="auto" w:val="clear"/>
          <w:vertAlign w:val="superscript"/>
          <w:rtl w:val="0"/>
        </w:rPr>
        <w:t xml:space="preserve">•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Not a replacement for your clinician — many causes of memory trouble are treatable </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1.710205078125" w:line="240" w:lineRule="auto"/>
        <w:ind w:left="76.46003723144531" w:right="0" w:firstLine="0"/>
        <w:jc w:val="left"/>
        <w:rPr>
          <w:rFonts w:ascii="Arial" w:cs="Arial" w:eastAsia="Arial" w:hAnsi="Arial"/>
          <w:b w:val="1"/>
          <w:bCs w:val="1"/>
          <w:i w:val="0"/>
          <w:iCs w:val="0"/>
          <w:smallCaps w:val="0"/>
          <w:strike w:val="0"/>
          <w:color w:val="0f6b5c"/>
          <w:sz w:val="26"/>
          <w:szCs w:val="26"/>
          <w:u w:val="none"/>
          <w:shd w:fill="auto" w:val="clear"/>
          <w:vertAlign w:val="baseline"/>
        </w:rPr>
      </w:pPr>
      <w:r w:rsidDel="00000000" w:rsidR="00000000" w:rsidRPr="00000000">
        <w:rPr>
          <w:rFonts w:ascii="Arial" w:cs="Arial" w:eastAsia="Arial" w:hAnsi="Arial"/>
          <w:b w:val="1"/>
          <w:bCs w:val="1"/>
          <w:i w:val="0"/>
          <w:iCs w:val="0"/>
          <w:smallCaps w:val="0"/>
          <w:strike w:val="0"/>
          <w:color w:val="0f6b5c"/>
          <w:sz w:val="26"/>
          <w:szCs w:val="26"/>
          <w:u w:val="none"/>
          <w:shd w:fill="auto" w:val="clear"/>
          <w:vertAlign w:val="baseline"/>
          <w:rtl w:val="0"/>
        </w:rPr>
        <w:t xml:space="preserve">How to Read the Evidence Grades </w:t>
      </w:r>
    </w:p>
    <w:tbl>
      <w:tblPr>
        <w:tblStyle w:val="Table1"/>
        <w:tblW w:w="8928.000183105469" w:type="dxa"/>
        <w:jc w:val="left"/>
        <w:tblInd w:w="504.0000915527344"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583.9999389648438"/>
        <w:gridCol w:w="4320"/>
        <w:gridCol w:w="3024.000244140625"/>
        <w:tblGridChange w:id="0">
          <w:tblGrid>
            <w:gridCol w:w="1583.9999389648438"/>
            <w:gridCol w:w="4320"/>
            <w:gridCol w:w="3024.000244140625"/>
          </w:tblGrid>
        </w:tblGridChange>
      </w:tblGrid>
      <w:tr>
        <w:trPr>
          <w:cantSplit w:val="0"/>
          <w:trHeight w:val="367.99987792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7.30392456054688" w:right="0" w:firstLine="0"/>
              <w:jc w:val="left"/>
              <w:rPr>
                <w:rFonts w:ascii="Arial" w:cs="Arial" w:eastAsia="Arial" w:hAnsi="Arial"/>
                <w:b w:val="1"/>
                <w:bCs w:val="1"/>
                <w:i w:val="0"/>
                <w:iCs w:val="0"/>
                <w:smallCaps w:val="0"/>
                <w:strike w:val="0"/>
                <w:sz w:val="16.600000381469727"/>
                <w:szCs w:val="16.600000381469727"/>
                <w:u w:val="none"/>
                <w:shd w:fill="auto" w:val="clear"/>
                <w:vertAlign w:val="baseline"/>
              </w:rPr>
            </w:pPr>
            <w:r w:rsidDel="00000000" w:rsidR="00000000" w:rsidRPr="00000000">
              <w:rPr>
                <w:rFonts w:ascii="Arial" w:cs="Arial" w:eastAsia="Arial" w:hAnsi="Arial"/>
                <w:b w:val="1"/>
                <w:bCs w:val="1"/>
                <w:i w:val="0"/>
                <w:iCs w:val="0"/>
                <w:smallCaps w:val="0"/>
                <w:strike w:val="0"/>
                <w:sz w:val="16.600000381469727"/>
                <w:szCs w:val="16.600000381469727"/>
                <w:u w:val="none"/>
                <w:shd w:fill="auto" w:val="clear"/>
                <w:vertAlign w:val="baseline"/>
                <w:rtl w:val="0"/>
              </w:rPr>
              <w:t xml:space="preserve">Grade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65594482421875" w:right="0" w:firstLine="0"/>
              <w:jc w:val="left"/>
              <w:rPr>
                <w:rFonts w:ascii="Arial" w:cs="Arial" w:eastAsia="Arial" w:hAnsi="Arial"/>
                <w:b w:val="1"/>
                <w:bCs w:val="1"/>
                <w:i w:val="0"/>
                <w:iCs w:val="0"/>
                <w:smallCaps w:val="0"/>
                <w:strike w:val="0"/>
                <w:sz w:val="16.600000381469727"/>
                <w:szCs w:val="16.600000381469727"/>
                <w:u w:val="none"/>
                <w:shd w:fill="auto" w:val="clear"/>
                <w:vertAlign w:val="baseline"/>
              </w:rPr>
            </w:pPr>
            <w:r w:rsidDel="00000000" w:rsidR="00000000" w:rsidRPr="00000000">
              <w:rPr>
                <w:rFonts w:ascii="Arial" w:cs="Arial" w:eastAsia="Arial" w:hAnsi="Arial"/>
                <w:b w:val="1"/>
                <w:bCs w:val="1"/>
                <w:i w:val="0"/>
                <w:iCs w:val="0"/>
                <w:smallCaps w:val="0"/>
                <w:strike w:val="0"/>
                <w:sz w:val="16.600000381469727"/>
                <w:szCs w:val="16.600000381469727"/>
                <w:u w:val="none"/>
                <w:shd w:fill="auto" w:val="clear"/>
                <w:vertAlign w:val="baseline"/>
                <w:rtl w:val="0"/>
              </w:rPr>
              <w:t xml:space="preserve">What it means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65625" w:right="0" w:firstLine="0"/>
              <w:jc w:val="left"/>
              <w:rPr>
                <w:rFonts w:ascii="Arial" w:cs="Arial" w:eastAsia="Arial" w:hAnsi="Arial"/>
                <w:b w:val="1"/>
                <w:bCs w:val="1"/>
                <w:i w:val="0"/>
                <w:iCs w:val="0"/>
                <w:smallCaps w:val="0"/>
                <w:strike w:val="0"/>
                <w:sz w:val="16.600000381469727"/>
                <w:szCs w:val="16.600000381469727"/>
                <w:u w:val="none"/>
                <w:shd w:fill="auto" w:val="clear"/>
                <w:vertAlign w:val="baseline"/>
              </w:rPr>
            </w:pPr>
            <w:r w:rsidDel="00000000" w:rsidR="00000000" w:rsidRPr="00000000">
              <w:rPr>
                <w:rFonts w:ascii="Arial" w:cs="Arial" w:eastAsia="Arial" w:hAnsi="Arial"/>
                <w:b w:val="1"/>
                <w:bCs w:val="1"/>
                <w:i w:val="0"/>
                <w:iCs w:val="0"/>
                <w:smallCaps w:val="0"/>
                <w:strike w:val="0"/>
                <w:sz w:val="16.600000381469727"/>
                <w:szCs w:val="16.600000381469727"/>
                <w:u w:val="none"/>
                <w:shd w:fill="auto" w:val="clear"/>
                <w:vertAlign w:val="baseline"/>
                <w:rtl w:val="0"/>
              </w:rPr>
              <w:t xml:space="preserve">Weight to give it</w:t>
            </w:r>
          </w:p>
        </w:tc>
      </w:tr>
      <w:tr>
        <w:trPr>
          <w:cantSplit w:val="0"/>
          <w:trHeight w:val="576.00036621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4.08004760742188"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RCT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23185920715332" w:lineRule="auto"/>
              <w:ind w:left="116.400146484375" w:right="163.9208984375" w:hanging="4.16015625"/>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A randomized controlled trial — people were assigned by chance to a treatment or comparison group</w:t>
            </w:r>
          </w:p>
        </w:tc>
        <w:tc>
          <w:tcPr>
            <w:shd w:fill="auto" w:val="clear"/>
            <w:tcMar>
              <w:top w:w="100.0" w:type="dxa"/>
              <w:left w:w="100.0" w:type="dxa"/>
              <w:bottom w:w="100.0" w:type="dxa"/>
              <w:right w:w="100.0" w:type="dxa"/>
            </w:tcMar>
            <w:vAlign w:val="top"/>
          </w:tcPr>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31994628906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Highest for cause and effect</w:t>
            </w:r>
          </w:p>
        </w:tc>
      </w:tr>
      <w:tr>
        <w:trPr>
          <w:cantSplit w:val="0"/>
          <w:trHeight w:val="575.99975585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679992675781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Meta-analysis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23185920715332" w:lineRule="auto"/>
              <w:ind w:left="116.400146484375" w:right="101.680908203125" w:hanging="4.16015625"/>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A systematic review pooling many human studies into one estimate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Very high when pooled studies are trials</w:t>
            </w:r>
          </w:p>
        </w:tc>
      </w:tr>
      <w:tr>
        <w:trPr>
          <w:cantSplit w:val="0"/>
          <w:trHeight w:val="575.99975585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2399291992187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Observational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23185920715332" w:lineRule="auto"/>
              <w:ind w:left="112.239990234375" w:right="163.9208984375"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A study that watches groups over time or compares them at one moment; nobody was randomly assigned anything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23185920715332" w:lineRule="auto"/>
              <w:ind w:left="119.27978515625" w:right="628.560791015625" w:hanging="1.5997314453125"/>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Good for spotting links, weak for proving cause</w:t>
            </w:r>
          </w:p>
        </w:tc>
      </w:tr>
      <w:tr>
        <w:trPr>
          <w:cantSplit w:val="0"/>
          <w:trHeight w:val="576.00036621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3.760070800781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Pilot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23185920715332" w:lineRule="auto"/>
              <w:ind w:left="119.28009033203125" w:right="226.160888671875" w:hanging="7.04010009765625"/>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A small pilot study or case series describing a handful of patients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31994628906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Hypothesis-generating only</w:t>
            </w:r>
          </w:p>
        </w:tc>
      </w:tr>
      <w:tr>
        <w:trPr>
          <w:cantSplit w:val="0"/>
          <w:trHeight w:val="575.99975585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23999023437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Animal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23999023437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A study in mice, rats, or other animals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23211669921875" w:lineRule="auto"/>
              <w:ind w:left="119.27978515625" w:right="539.600830078125" w:hanging="1.4398193359375"/>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Suggests mechanism, not human benefit</w:t>
            </w:r>
          </w:p>
        </w:tc>
      </w:tr>
      <w:tr>
        <w:trPr>
          <w:cantSplit w:val="0"/>
          <w:trHeight w:val="576.0000610351562"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160034179687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Lab / Mechanistic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160034179687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Laboratory research, often on cells or biomarkers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23220252990723" w:lineRule="auto"/>
              <w:ind w:left="120.3997802734375" w:right="335.440673828125" w:firstLine="3.3599853515625"/>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Explains why something might work, not that it does</w:t>
            </w:r>
          </w:p>
        </w:tc>
      </w:tr>
      <w:tr>
        <w:trPr>
          <w:cantSplit w:val="0"/>
          <w:trHeight w:val="576.0000610351562"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2399291992187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Opinion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23220252990723" w:lineRule="auto"/>
              <w:ind w:left="115.7598876953125" w:right="243.9208984375" w:firstLine="8.00018310546875"/>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Expert opinion, a protocol description, or a claim without adequate clinical evidence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23999023437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Treat as a hypothesis</w:t>
            </w:r>
          </w:p>
        </w:tc>
      </w:tr>
    </w:tbl>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9.88402366638184" w:lineRule="auto"/>
        <w:ind w:left="69.60006713867188" w:right="352.203369140625" w:hanging="8.40003967285156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We also add strength tags where useful: (strong), (moderate), (weak), (mixed), or (negative — trial found no benefit).</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2.760009765625" w:right="0" w:firstLine="0"/>
        <w:jc w:val="left"/>
        <w:rPr>
          <w:rFonts w:ascii="Arial" w:cs="Arial" w:eastAsia="Arial" w:hAnsi="Arial"/>
          <w:b w:val="1"/>
          <w:bCs w:val="1"/>
          <w:i w:val="0"/>
          <w:iCs w:val="0"/>
          <w:smallCaps w:val="0"/>
          <w:strike w:val="0"/>
          <w:color w:val="1b3a4b"/>
          <w:sz w:val="34"/>
          <w:szCs w:val="34"/>
          <w:u w:val="none"/>
          <w:shd w:fill="auto" w:val="clear"/>
          <w:vertAlign w:val="baseline"/>
        </w:rPr>
      </w:pPr>
      <w:r w:rsidDel="00000000" w:rsidR="00000000" w:rsidRPr="00000000">
        <w:rPr>
          <w:rFonts w:ascii="Arial" w:cs="Arial" w:eastAsia="Arial" w:hAnsi="Arial"/>
          <w:b w:val="1"/>
          <w:bCs w:val="1"/>
          <w:i w:val="0"/>
          <w:iCs w:val="0"/>
          <w:smallCaps w:val="0"/>
          <w:strike w:val="0"/>
          <w:color w:val="1b3a4b"/>
          <w:sz w:val="34"/>
          <w:szCs w:val="34"/>
          <w:u w:val="none"/>
          <w:shd w:fill="auto" w:val="clear"/>
          <w:vertAlign w:val="baseline"/>
          <w:rtl w:val="0"/>
        </w:rPr>
        <w:t xml:space="preserve">The Honest Promise </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3.22021484375" w:line="289.88402366638184" w:lineRule="auto"/>
        <w:ind w:left="65" w:right="207.2021484375" w:hanging="4.199981689453125"/>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Thirty days is enough time to build habits and move real, measurable numbers. Blood pressure, weight, sleep duration, aerobic fitness, and blood sugar can all shift within a month, and each of those factors is independently linked to dementia risk, according to the 2024 Lancet Commission. </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5.030517578125" w:line="240" w:lineRule="auto"/>
        <w:ind w:left="62.760009765625" w:right="0" w:firstLine="0"/>
        <w:jc w:val="left"/>
        <w:rPr>
          <w:rFonts w:ascii="Arial" w:cs="Arial" w:eastAsia="Arial" w:hAnsi="Arial"/>
          <w:b w:val="1"/>
          <w:bCs w:val="1"/>
          <w:i w:val="0"/>
          <w:iCs w:val="0"/>
          <w:smallCaps w:val="0"/>
          <w:strike w:val="0"/>
          <w:color w:val="1b3a4b"/>
          <w:sz w:val="34"/>
          <w:szCs w:val="34"/>
          <w:u w:val="none"/>
          <w:shd w:fill="auto" w:val="clear"/>
          <w:vertAlign w:val="baseline"/>
        </w:rPr>
      </w:pPr>
      <w:r w:rsidDel="00000000" w:rsidR="00000000" w:rsidRPr="00000000">
        <w:rPr>
          <w:rFonts w:ascii="Arial" w:cs="Arial" w:eastAsia="Arial" w:hAnsi="Arial"/>
          <w:b w:val="1"/>
          <w:bCs w:val="1"/>
          <w:i w:val="0"/>
          <w:iCs w:val="0"/>
          <w:smallCaps w:val="0"/>
          <w:strike w:val="0"/>
          <w:color w:val="1b3a4b"/>
          <w:sz w:val="34"/>
          <w:szCs w:val="34"/>
          <w:u w:val="none"/>
          <w:shd w:fill="auto" w:val="clear"/>
          <w:vertAlign w:val="baseline"/>
          <w:rtl w:val="0"/>
        </w:rPr>
        <w:t xml:space="preserve">Table of Contents</w:t>
      </w:r>
    </w:p>
    <w:tbl>
      <w:tblPr>
        <w:tblStyle w:val="Table2"/>
        <w:tblW w:w="8928.000183105469" w:type="dxa"/>
        <w:jc w:val="left"/>
        <w:tblInd w:w="504.0000915527344"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312.0001220703125"/>
        <w:gridCol w:w="5616.000061035156"/>
        <w:tblGridChange w:id="0">
          <w:tblGrid>
            <w:gridCol w:w="3312.0001220703125"/>
            <w:gridCol w:w="5616.000061035156"/>
          </w:tblGrid>
        </w:tblGridChange>
      </w:tblGrid>
      <w:tr>
        <w:trPr>
          <w:cantSplit w:val="0"/>
          <w:trHeight w:val="368.0004882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4739990234375" w:right="0" w:firstLine="0"/>
              <w:jc w:val="left"/>
              <w:rPr>
                <w:rFonts w:ascii="Arial" w:cs="Arial" w:eastAsia="Arial" w:hAnsi="Arial"/>
                <w:b w:val="1"/>
                <w:bCs w:val="1"/>
                <w:i w:val="0"/>
                <w:iCs w:val="0"/>
                <w:smallCaps w:val="0"/>
                <w:strike w:val="0"/>
                <w:sz w:val="16.600000381469727"/>
                <w:szCs w:val="16.600000381469727"/>
                <w:u w:val="none"/>
                <w:shd w:fill="auto" w:val="clear"/>
                <w:vertAlign w:val="baseline"/>
              </w:rPr>
            </w:pPr>
            <w:r w:rsidDel="00000000" w:rsidR="00000000" w:rsidRPr="00000000">
              <w:rPr>
                <w:rFonts w:ascii="Arial" w:cs="Arial" w:eastAsia="Arial" w:hAnsi="Arial"/>
                <w:b w:val="1"/>
                <w:bCs w:val="1"/>
                <w:i w:val="0"/>
                <w:iCs w:val="0"/>
                <w:smallCaps w:val="0"/>
                <w:strike w:val="0"/>
                <w:sz w:val="16.600000381469727"/>
                <w:szCs w:val="16.600000381469727"/>
                <w:u w:val="none"/>
                <w:shd w:fill="auto" w:val="clear"/>
                <w:vertAlign w:val="baseline"/>
                <w:rtl w:val="0"/>
              </w:rPr>
              <w:t xml:space="preserve">Section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65594482421875" w:right="0" w:firstLine="0"/>
              <w:jc w:val="left"/>
              <w:rPr>
                <w:rFonts w:ascii="Arial" w:cs="Arial" w:eastAsia="Arial" w:hAnsi="Arial"/>
                <w:b w:val="1"/>
                <w:bCs w:val="1"/>
                <w:i w:val="0"/>
                <w:iCs w:val="0"/>
                <w:smallCaps w:val="0"/>
                <w:strike w:val="0"/>
                <w:sz w:val="16.600000381469727"/>
                <w:szCs w:val="16.600000381469727"/>
                <w:u w:val="none"/>
                <w:shd w:fill="auto" w:val="clear"/>
                <w:vertAlign w:val="baseline"/>
              </w:rPr>
            </w:pPr>
            <w:r w:rsidDel="00000000" w:rsidR="00000000" w:rsidRPr="00000000">
              <w:rPr>
                <w:rFonts w:ascii="Arial" w:cs="Arial" w:eastAsia="Arial" w:hAnsi="Arial"/>
                <w:b w:val="1"/>
                <w:bCs w:val="1"/>
                <w:i w:val="0"/>
                <w:iCs w:val="0"/>
                <w:smallCaps w:val="0"/>
                <w:strike w:val="0"/>
                <w:sz w:val="16.600000381469727"/>
                <w:szCs w:val="16.600000381469727"/>
                <w:u w:val="none"/>
                <w:shd w:fill="auto" w:val="clear"/>
                <w:vertAlign w:val="baseline"/>
                <w:rtl w:val="0"/>
              </w:rPr>
              <w:t xml:space="preserve">What it covers</w:t>
            </w:r>
          </w:p>
        </w:tc>
      </w:tr>
      <w:tr>
        <w:trPr>
          <w:cantSplit w:val="0"/>
          <w:trHeight w:val="367.99926757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1. The Bredesen Protocol, Fairly Analyzed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160034179687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KetoFLEX 12/3, its claims, mainstream evidence, and published criticism</w:t>
            </w:r>
          </w:p>
        </w:tc>
      </w:tr>
      <w:tr>
        <w:trPr>
          <w:cantSplit w:val="0"/>
          <w:trHeight w:val="575.99975585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16000366210938"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2. Food and Fasting Foundations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23185920715332" w:lineRule="auto"/>
              <w:ind w:left="115.11993408203125" w:right="187.281494140625" w:hanging="2.87994384765625"/>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The eating pattern this guide builds on, the 12-hour fast, food quality, and a safe 4-week ramp</w:t>
            </w:r>
          </w:p>
        </w:tc>
      </w:tr>
      <w:tr>
        <w:trPr>
          <w:cantSplit w:val="0"/>
          <w:trHeight w:val="368.0004882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44006347656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3. The Lifestyle Evidence Map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839904785156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Blood pressure, exercise, sleep, senses, mind and mood</w:t>
            </w:r>
          </w:p>
        </w:tc>
      </w:tr>
      <w:tr>
        <w:trPr>
          <w:cantSplit w:val="0"/>
          <w:trHeight w:val="575.99975585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4. Environmental and Medical Risk Factors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23185920715332" w:lineRule="auto"/>
              <w:ind w:left="120.40008544921875" w:right="694.9609375" w:hanging="4.16015625"/>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Oral health, air pollution, toxins, chronic infections and vaccines, gut microbiome</w:t>
            </w:r>
          </w:p>
        </w:tc>
      </w:tr>
      <w:tr>
        <w:trPr>
          <w:cantSplit w:val="0"/>
          <w:trHeight w:val="368.0004882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5. Emerging and Controversial Approaches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3.9999389648437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40Hz stimulation, sauna, hyperbaric oxygen, and how to prioritize</w:t>
            </w:r>
          </w:p>
        </w:tc>
      </w:tr>
      <w:tr>
        <w:trPr>
          <w:cantSplit w:val="0"/>
          <w:trHeight w:val="575.99975585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0800170898437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6. Hormones and Prescription Medicines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23185920715332" w:lineRule="auto"/>
              <w:ind w:left="116.400146484375" w:right="214.64111328125" w:hanging="4.16015625"/>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A balanced review of estrogen, thyroid, testosterone, and every major drug class tested</w:t>
            </w:r>
          </w:p>
        </w:tc>
      </w:tr>
      <w:tr>
        <w:trPr>
          <w:cantSplit w:val="0"/>
          <w:trHeight w:val="367.99987792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91995239257812"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7. Tracking Your Numbers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839904785156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Blood sugar, ketones, blood pressure, and other metrics worth tracking</w:t>
            </w:r>
          </w:p>
        </w:tc>
      </w:tr>
      <w:tr>
        <w:trPr>
          <w:cantSplit w:val="0"/>
          <w:trHeight w:val="576.00036621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0800170898437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8. The 30-Day Implementation Plan </w:t>
            </w:r>
          </w:p>
        </w:tc>
        <w:tc>
          <w:tcPr>
            <w:shd w:fill="auto" w:val="clear"/>
            <w:tcMar>
              <w:top w:w="100.0" w:type="dxa"/>
              <w:left w:w="100.0" w:type="dxa"/>
              <w:bottom w:w="100.0" w:type="dxa"/>
              <w:right w:w="100.0" w:type="dxa"/>
            </w:tcMar>
            <w:vAlign w:val="top"/>
          </w:tcPr>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23185920715332" w:lineRule="auto"/>
              <w:ind w:left="115.11993408203125" w:right="721.8408203125" w:hanging="2.559814453125"/>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Week-by-week actions, a daily tracking template, and what never to self-start</w:t>
            </w:r>
          </w:p>
        </w:tc>
      </w:tr>
      <w:tr>
        <w:trPr>
          <w:cantSplit w:val="0"/>
          <w:trHeight w:val="575.99975585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7199707031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9. Baseline Medical Evaluation </w:t>
            </w:r>
          </w:p>
        </w:tc>
        <w:tc>
          <w:tcPr>
            <w:shd w:fill="auto" w:val="clear"/>
            <w:tcMar>
              <w:top w:w="100.0" w:type="dxa"/>
              <w:left w:w="100.0" w:type="dxa"/>
              <w:bottom w:w="100.0" w:type="dxa"/>
              <w:right w:w="100.0" w:type="dxa"/>
            </w:tcMar>
            <w:vAlign w:val="top"/>
          </w:tcPr>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23185920715332" w:lineRule="auto"/>
              <w:ind w:left="112.239990234375" w:right="90" w:firstLine="11.83990478515625"/>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Routine, evidence-based testing versus optional or experimental testing, and the APOE decision</w:t>
            </w:r>
          </w:p>
        </w:tc>
      </w:tr>
      <w:tr>
        <w:trPr>
          <w:cantSplit w:val="0"/>
          <w:trHeight w:val="576.0000610351562"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6.159973144531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10. The Evidence Tables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23220252990723" w:lineRule="auto"/>
              <w:ind w:left="120.71990966796875" w:right="633.040771484375" w:firstLine="3.0401611328125"/>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Full reference tables: lifestyle, medical, environmental, and emerging interventions</w:t>
            </w:r>
          </w:p>
        </w:tc>
      </w:tr>
      <w:tr>
        <w:trPr>
          <w:cantSplit w:val="0"/>
          <w:trHeight w:val="367.99987792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6.159973144531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11. Sources and Further Reading </w:t>
            </w:r>
          </w:p>
        </w:tc>
        <w:tc>
          <w:tcPr>
            <w:shd w:fill="auto" w:val="clear"/>
            <w:tcMar>
              <w:top w:w="100.0" w:type="dxa"/>
              <w:left w:w="100.0" w:type="dxa"/>
              <w:bottom w:w="100.0" w:type="dxa"/>
              <w:right w:w="100.0" w:type="dxa"/>
            </w:tcMar>
            <w:vAlign w:val="top"/>
          </w:tcPr>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3.760070800781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Every major source cited, with working links</w:t>
            </w:r>
          </w:p>
        </w:tc>
      </w:tr>
    </w:tbl>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1.25999450683594" w:right="0" w:firstLine="0"/>
        <w:jc w:val="left"/>
        <w:rPr>
          <w:rFonts w:ascii="Arial" w:cs="Arial" w:eastAsia="Arial" w:hAnsi="Arial"/>
          <w:b w:val="1"/>
          <w:bCs w:val="1"/>
          <w:i w:val="0"/>
          <w:iCs w:val="0"/>
          <w:smallCaps w:val="0"/>
          <w:strike w:val="0"/>
          <w:color w:val="1b3a4b"/>
          <w:sz w:val="34"/>
          <w:szCs w:val="34"/>
          <w:u w:val="none"/>
          <w:shd w:fill="auto" w:val="clear"/>
          <w:vertAlign w:val="baseline"/>
        </w:rPr>
      </w:pPr>
      <w:r w:rsidDel="00000000" w:rsidR="00000000" w:rsidRPr="00000000">
        <w:rPr>
          <w:rFonts w:ascii="Arial" w:cs="Arial" w:eastAsia="Arial" w:hAnsi="Arial"/>
          <w:b w:val="1"/>
          <w:bCs w:val="1"/>
          <w:i w:val="0"/>
          <w:iCs w:val="0"/>
          <w:smallCaps w:val="0"/>
          <w:strike w:val="0"/>
          <w:color w:val="1b3a4b"/>
          <w:sz w:val="34"/>
          <w:szCs w:val="34"/>
          <w:u w:val="none"/>
          <w:shd w:fill="auto" w:val="clear"/>
          <w:vertAlign w:val="baseline"/>
          <w:rtl w:val="0"/>
        </w:rPr>
        <w:t xml:space="preserve">Section 1: The Bredesen Protocol, Fairly Analyzed </w:t>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3.22021484375" w:line="289.88402366638184" w:lineRule="auto"/>
        <w:ind w:left="65.20004272460938" w:right="129.002685546875" w:firstLine="9.00001525878906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Dale Bredesen is a neurologist and researcher who popularized a multi-domain, personalized approach to cognitive decline, often called the ReCODE protocol. His work helped popularize the idea that brain health has multiple contributors — but this guide does not depend on his branded approach. It separates well-established actions from promising but still-developing evidence. </w:t>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5.030517578125" w:line="240" w:lineRule="auto"/>
        <w:ind w:left="80.62004089355469" w:right="0" w:firstLine="0"/>
        <w:jc w:val="left"/>
        <w:rPr>
          <w:rFonts w:ascii="Arial" w:cs="Arial" w:eastAsia="Arial" w:hAnsi="Arial"/>
          <w:b w:val="1"/>
          <w:bCs w:val="1"/>
          <w:i w:val="0"/>
          <w:iCs w:val="0"/>
          <w:smallCaps w:val="0"/>
          <w:strike w:val="0"/>
          <w:color w:val="0f6b5c"/>
          <w:sz w:val="26"/>
          <w:szCs w:val="26"/>
          <w:u w:val="none"/>
          <w:shd w:fill="auto" w:val="clear"/>
          <w:vertAlign w:val="baseline"/>
        </w:rPr>
      </w:pPr>
      <w:r w:rsidDel="00000000" w:rsidR="00000000" w:rsidRPr="00000000">
        <w:rPr>
          <w:rFonts w:ascii="Arial" w:cs="Arial" w:eastAsia="Arial" w:hAnsi="Arial"/>
          <w:b w:val="1"/>
          <w:bCs w:val="1"/>
          <w:i w:val="0"/>
          <w:iCs w:val="0"/>
          <w:smallCaps w:val="0"/>
          <w:strike w:val="0"/>
          <w:color w:val="0f6b5c"/>
          <w:sz w:val="26"/>
          <w:szCs w:val="26"/>
          <w:u w:val="none"/>
          <w:shd w:fill="auto" w:val="clear"/>
          <w:vertAlign w:val="baseline"/>
          <w:rtl w:val="0"/>
        </w:rPr>
        <w:t xml:space="preserve">KetoFLEX 12/3: The Food Framework </w:t>
      </w:r>
    </w:p>
    <w:tbl>
      <w:tblPr>
        <w:tblStyle w:val="Table3"/>
        <w:tblW w:w="6455.076033093105" w:type="dxa"/>
        <w:jc w:val="left"/>
        <w:tblInd w:w="611.9999694824219"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78.0418818189012"/>
        <w:gridCol w:w="2151.6921952746743"/>
        <w:gridCol w:w="3325.34195599953"/>
        <w:tblGridChange w:id="0">
          <w:tblGrid>
            <w:gridCol w:w="978.0418818189012"/>
            <w:gridCol w:w="2151.6921952746743"/>
            <w:gridCol w:w="3325.34195599953"/>
          </w:tblGrid>
        </w:tblGridChange>
      </w:tblGrid>
      <w:tr>
        <w:trPr>
          <w:cantSplit w:val="0"/>
          <w:trHeight w:val="368.0004882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615966796875" w:right="0" w:firstLine="0"/>
              <w:jc w:val="left"/>
              <w:rPr>
                <w:rFonts w:ascii="Arial" w:cs="Arial" w:eastAsia="Arial" w:hAnsi="Arial"/>
                <w:b w:val="1"/>
                <w:bCs w:val="1"/>
                <w:i w:val="0"/>
                <w:iCs w:val="0"/>
                <w:smallCaps w:val="0"/>
                <w:strike w:val="0"/>
                <w:sz w:val="16.600000381469727"/>
                <w:szCs w:val="16.600000381469727"/>
                <w:u w:val="none"/>
                <w:shd w:fill="auto" w:val="clear"/>
                <w:vertAlign w:val="baseline"/>
              </w:rPr>
            </w:pPr>
            <w:r w:rsidDel="00000000" w:rsidR="00000000" w:rsidRPr="00000000">
              <w:rPr>
                <w:rFonts w:ascii="Arial" w:cs="Arial" w:eastAsia="Arial" w:hAnsi="Arial"/>
                <w:b w:val="1"/>
                <w:bCs w:val="1"/>
                <w:i w:val="0"/>
                <w:iCs w:val="0"/>
                <w:smallCaps w:val="0"/>
                <w:strike w:val="0"/>
                <w:sz w:val="16.600000381469727"/>
                <w:szCs w:val="16.600000381469727"/>
                <w:u w:val="none"/>
                <w:shd w:fill="auto" w:val="clear"/>
                <w:vertAlign w:val="baseline"/>
                <w:rtl w:val="0"/>
              </w:rPr>
              <w:t xml:space="preserve">Element </w:t>
            </w:r>
          </w:p>
        </w:tc>
        <w:tc>
          <w:tcPr>
            <w:shd w:fill="auto" w:val="clear"/>
            <w:tcMar>
              <w:top w:w="100.0" w:type="dxa"/>
              <w:left w:w="100.0" w:type="dxa"/>
              <w:bottom w:w="100.0" w:type="dxa"/>
              <w:right w:w="100.0" w:type="dxa"/>
            </w:tcMar>
            <w:vAlign w:val="top"/>
          </w:tcPr>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65594482421875" w:right="0" w:firstLine="0"/>
              <w:jc w:val="left"/>
              <w:rPr>
                <w:rFonts w:ascii="Arial" w:cs="Arial" w:eastAsia="Arial" w:hAnsi="Arial"/>
                <w:b w:val="1"/>
                <w:bCs w:val="1"/>
                <w:i w:val="0"/>
                <w:iCs w:val="0"/>
                <w:smallCaps w:val="0"/>
                <w:strike w:val="0"/>
                <w:sz w:val="16.600000381469727"/>
                <w:szCs w:val="16.600000381469727"/>
                <w:u w:val="none"/>
                <w:shd w:fill="auto" w:val="clear"/>
                <w:vertAlign w:val="baseline"/>
              </w:rPr>
            </w:pPr>
            <w:r w:rsidDel="00000000" w:rsidR="00000000" w:rsidRPr="00000000">
              <w:rPr>
                <w:rFonts w:ascii="Arial" w:cs="Arial" w:eastAsia="Arial" w:hAnsi="Arial"/>
                <w:b w:val="1"/>
                <w:bCs w:val="1"/>
                <w:i w:val="0"/>
                <w:iCs w:val="0"/>
                <w:smallCaps w:val="0"/>
                <w:strike w:val="0"/>
                <w:sz w:val="16.600000381469727"/>
                <w:szCs w:val="16.600000381469727"/>
                <w:u w:val="none"/>
                <w:shd w:fill="auto" w:val="clear"/>
                <w:vertAlign w:val="baseline"/>
                <w:rtl w:val="0"/>
              </w:rPr>
              <w:t xml:space="preserve">What Bredesen says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65625" w:right="0" w:firstLine="0"/>
              <w:jc w:val="left"/>
              <w:rPr>
                <w:rFonts w:ascii="Arial" w:cs="Arial" w:eastAsia="Arial" w:hAnsi="Arial"/>
                <w:b w:val="1"/>
                <w:bCs w:val="1"/>
                <w:i w:val="0"/>
                <w:iCs w:val="0"/>
                <w:smallCaps w:val="0"/>
                <w:strike w:val="0"/>
                <w:sz w:val="16.600000381469727"/>
                <w:szCs w:val="16.600000381469727"/>
                <w:u w:val="none"/>
                <w:shd w:fill="auto" w:val="clear"/>
                <w:vertAlign w:val="baseline"/>
              </w:rPr>
            </w:pPr>
            <w:r w:rsidDel="00000000" w:rsidR="00000000" w:rsidRPr="00000000">
              <w:rPr>
                <w:rFonts w:ascii="Arial" w:cs="Arial" w:eastAsia="Arial" w:hAnsi="Arial"/>
                <w:b w:val="1"/>
                <w:bCs w:val="1"/>
                <w:i w:val="0"/>
                <w:iCs w:val="0"/>
                <w:smallCaps w:val="0"/>
                <w:strike w:val="0"/>
                <w:sz w:val="16.600000381469727"/>
                <w:szCs w:val="16.600000381469727"/>
                <w:u w:val="none"/>
                <w:shd w:fill="auto" w:val="clear"/>
                <w:vertAlign w:val="baseline"/>
                <w:rtl w:val="0"/>
              </w:rPr>
              <w:t xml:space="preserve">What mainstream evidence says </w:t>
            </w:r>
          </w:p>
        </w:tc>
      </w:tr>
      <w:tr>
        <w:trPr>
          <w:cantSplit w:val="0"/>
          <w:trHeight w:val="991.9995117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19995117187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"Keto" </w:t>
            </w:r>
          </w:p>
        </w:tc>
        <w:tc>
          <w:tcPr>
            <w:shd w:fill="auto" w:val="clear"/>
            <w:tcMar>
              <w:top w:w="100.0" w:type="dxa"/>
              <w:left w:w="100.0" w:type="dxa"/>
              <w:bottom w:w="100.0" w:type="dxa"/>
              <w:right w:w="100.0" w:type="dxa"/>
            </w:tcMar>
            <w:vAlign w:val="top"/>
          </w:tcPr>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231201171875" w:lineRule="auto"/>
              <w:ind w:left="112.239990234375" w:right="158.3203125" w:firstLine="9.59991455078125"/>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Body shifts toward burning fat for fuel</w:t>
            </w:r>
          </w:p>
        </w:tc>
        <w:tc>
          <w:tcPr>
            <w:shd w:fill="auto" w:val="clear"/>
            <w:tcMar>
              <w:top w:w="100.0" w:type="dxa"/>
              <w:left w:w="100.0" w:type="dxa"/>
              <w:bottom w:w="100.0" w:type="dxa"/>
              <w:right w:w="100.0" w:type="dxa"/>
            </w:tcMar>
            <w:vAlign w:val="top"/>
          </w:tcPr>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1.01853370666504" w:lineRule="auto"/>
              <w:ind w:left="112.239990234375" w:right="280.880126953125"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Across 10 small trials, ketogenic approaches improved cognitive scores modestly but raised triglycerides and LDL; most used MCT </w:t>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67529296875" w:line="240" w:lineRule="auto"/>
              <w:ind w:left="115.12023925781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supplements, not full dietary ketosis</w:t>
            </w:r>
          </w:p>
        </w:tc>
      </w:tr>
      <w:tr>
        <w:trPr>
          <w:cantSplit w:val="0"/>
          <w:trHeight w:val="784.00024414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19995117187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"FLEX" </w:t>
            </w:r>
          </w:p>
        </w:tc>
        <w:tc>
          <w:tcPr>
            <w:shd w:fill="auto" w:val="clear"/>
            <w:tcMar>
              <w:top w:w="100.0" w:type="dxa"/>
              <w:left w:w="100.0" w:type="dxa"/>
              <w:bottom w:w="100.0" w:type="dxa"/>
              <w:right w:w="100.0" w:type="dxa"/>
            </w:tcMar>
            <w:vAlign w:val="top"/>
          </w:tcPr>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679992675781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Metabolic flexibility — </w:t>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23254585266113" w:lineRule="auto"/>
              <w:ind w:left="115.11993408203125" w:right="274.16015625"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switching smoothly between sugar and fat as fuel</w:t>
            </w:r>
          </w:p>
        </w:tc>
        <w:tc>
          <w:tcPr>
            <w:shd w:fill="auto" w:val="clear"/>
            <w:tcMar>
              <w:top w:w="100.0" w:type="dxa"/>
              <w:left w:w="100.0" w:type="dxa"/>
              <w:bottom w:w="100.0" w:type="dxa"/>
              <w:right w:w="100.0" w:type="dxa"/>
            </w:tcMar>
            <w:vAlign w:val="top"/>
          </w:tcPr>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1.0192060470581" w:lineRule="auto"/>
              <w:ind w:left="116.400146484375" w:right="618.64013671875" w:firstLine="8.1597900390625"/>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Improved flexibility helps keep insulin and glucose levels steady, lowering </w:t>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676513671875" w:line="240" w:lineRule="auto"/>
              <w:ind w:left="120.7202148437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insulin-resistance risk</w:t>
            </w:r>
          </w:p>
        </w:tc>
      </w:tr>
      <w:tr>
        <w:trPr>
          <w:cantSplit w:val="0"/>
          <w:trHeight w:val="575.99975585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19995117187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"12" </w:t>
            </w:r>
          </w:p>
        </w:tc>
        <w:tc>
          <w:tcPr>
            <w:shd w:fill="auto" w:val="clear"/>
            <w:tcMar>
              <w:top w:w="100.0" w:type="dxa"/>
              <w:left w:w="100.0" w:type="dxa"/>
              <w:bottom w:w="100.0" w:type="dxa"/>
              <w:right w:w="100.0" w:type="dxa"/>
            </w:tcMar>
            <w:vAlign w:val="top"/>
          </w:tcPr>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23185920715332" w:lineRule="auto"/>
              <w:ind w:left="112.239990234375" w:right="167.60040283203125"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A minimum 12-hour overnight fast</w:t>
            </w:r>
          </w:p>
        </w:tc>
        <w:tc>
          <w:tcPr>
            <w:shd w:fill="auto" w:val="clear"/>
            <w:tcMar>
              <w:top w:w="100.0" w:type="dxa"/>
              <w:left w:w="100.0" w:type="dxa"/>
              <w:bottom w:w="100.0" w:type="dxa"/>
              <w:right w:w="100.0" w:type="dxa"/>
            </w:tcMar>
            <w:vAlign w:val="top"/>
          </w:tcPr>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23185920715332" w:lineRule="auto"/>
              <w:ind w:left="120.72021484375" w:right="120.08056640625" w:hanging="8.160400390625"/>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When the body runs out of carbohydrate to burn, it begins burning fat</w:t>
            </w:r>
          </w:p>
        </w:tc>
      </w:tr>
      <w:tr>
        <w:trPr>
          <w:cantSplit w:val="0"/>
          <w:trHeight w:val="575.99975585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19995117187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"3" </w:t>
            </w:r>
          </w:p>
        </w:tc>
        <w:tc>
          <w:tcPr>
            <w:shd w:fill="auto" w:val="clear"/>
            <w:tcMar>
              <w:top w:w="100.0" w:type="dxa"/>
              <w:left w:w="100.0" w:type="dxa"/>
              <w:bottom w:w="100.0" w:type="dxa"/>
              <w:right w:w="100.0" w:type="dxa"/>
            </w:tcMar>
            <w:vAlign w:val="top"/>
          </w:tcPr>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23185920715332" w:lineRule="auto"/>
              <w:ind w:left="119.28009033203125" w:right="434.000244140625" w:firstLine="2.87994384765625"/>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Last meal at least 3 hours before bed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23185920715332" w:lineRule="auto"/>
              <w:ind w:left="115.7598876953125" w:right="182.80029296875" w:hanging="3.5198974609375"/>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A resting gut allows proper release of melatonin and human growth hormone</w:t>
            </w:r>
          </w:p>
        </w:tc>
      </w:tr>
      <w:tr>
        <w:trPr>
          <w:cantSplit w:val="0"/>
          <w:trHeight w:val="784.00024414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Longer fasts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2.1255397796631" w:lineRule="auto"/>
              <w:ind w:left="112.239990234375" w:right="90" w:hanging="3.5198974609375"/>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ApoE4 carriers advised toward 16 hours by some protocol authors</w:t>
            </w:r>
          </w:p>
        </w:tc>
        <w:tc>
          <w:tcPr>
            <w:shd w:fill="auto" w:val="clear"/>
            <w:tcMar>
              <w:top w:w="100.0" w:type="dxa"/>
              <w:left w:w="100.0" w:type="dxa"/>
              <w:bottom w:w="100.0" w:type="dxa"/>
              <w:right w:w="100.0" w:type="dxa"/>
            </w:tcMar>
            <w:vAlign w:val="top"/>
          </w:tcPr>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23185920715332" w:lineRule="auto"/>
              <w:ind w:left="120.72021484375" w:right="378.160400390625" w:firstLine="1.4398193359375"/>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Lowers insulin, encourages fat burning, often leads to natural calorie reduction</w:t>
            </w:r>
          </w:p>
        </w:tc>
      </w:tr>
      <w:tr>
        <w:trPr>
          <w:cantSplit w:val="0"/>
          <w:trHeight w:val="992.000122070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160034179687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Ketosis </w:t>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9400634765625" w:line="240" w:lineRule="auto"/>
              <w:ind w:left="112.23999023437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target</w:t>
            </w:r>
          </w:p>
        </w:tc>
        <w:tc>
          <w:tcPr>
            <w:shd w:fill="auto" w:val="clear"/>
            <w:tcMar>
              <w:top w:w="100.0" w:type="dxa"/>
              <w:left w:w="100.0" w:type="dxa"/>
              <w:bottom w:w="100.0" w:type="dxa"/>
              <w:right w:w="100.0" w:type="dxa"/>
            </w:tcMar>
            <w:vAlign w:val="top"/>
          </w:tcPr>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8.42321872711182" w:lineRule="auto"/>
              <w:ind w:left="114.15985107421875" w:right="90" w:firstLine="7.6800537109375"/>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BHB 1.0-4.0 mM in the original 2023 paper; a 2026 review softens this and calls ketosis "mild"</w:t>
            </w:r>
          </w:p>
        </w:tc>
        <w:tc>
          <w:tcPr>
            <w:shd w:fill="auto" w:val="clear"/>
            <w:tcMar>
              <w:top w:w="100.0" w:type="dxa"/>
              <w:left w:w="100.0" w:type="dxa"/>
              <w:bottom w:w="100.0" w:type="dxa"/>
              <w:right w:w="100.0" w:type="dxa"/>
            </w:tcMar>
            <w:vAlign w:val="top"/>
          </w:tcPr>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23185920715332" w:lineRule="auto"/>
              <w:ind w:left="112.239990234375" w:right="317.5201416015625"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The ketogenic diet has been successful in treating obesity, type 2 diabetes, and epilepsy</w:t>
            </w:r>
          </w:p>
        </w:tc>
      </w:tr>
      <w:tr>
        <w:trPr>
          <w:cantSplit w:val="0"/>
          <w:trHeight w:val="992.000122070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3.760070800781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Food </w:t>
            </w:r>
          </w:p>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9400634765625" w:line="240" w:lineRule="auto"/>
              <w:ind w:left="119.27993774414062"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pattern</w:t>
            </w:r>
          </w:p>
        </w:tc>
        <w:tc>
          <w:tcPr>
            <w:shd w:fill="auto" w:val="clear"/>
            <w:tcMar>
              <w:top w:w="100.0" w:type="dxa"/>
              <w:left w:w="100.0" w:type="dxa"/>
              <w:bottom w:w="100.0" w:type="dxa"/>
              <w:right w:w="100.0" w:type="dxa"/>
            </w:tcMar>
            <w:vAlign w:val="top"/>
          </w:tcPr>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3.760070800781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Plant-rich, high-fiber, low </w:t>
            </w:r>
          </w:p>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1.0192060470581" w:lineRule="auto"/>
              <w:ind w:left="119.28009033203125" w:right="291.92047119140625" w:hanging="2.87994384765625"/>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glycemic load, leafy greens, berries, olive oil, nuts, </w:t>
            </w:r>
          </w:p>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67529296875" w:line="240" w:lineRule="auto"/>
              <w:ind w:left="120.7199096679687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low-mercury fish</w:t>
            </w:r>
          </w:p>
        </w:tc>
        <w:tc>
          <w:tcPr>
            <w:shd w:fill="auto" w:val="clear"/>
            <w:tcMar>
              <w:top w:w="100.0" w:type="dxa"/>
              <w:left w:w="100.0" w:type="dxa"/>
              <w:bottom w:w="100.0" w:type="dxa"/>
              <w:right w:w="100.0" w:type="dxa"/>
            </w:tcMar>
            <w:vAlign w:val="top"/>
          </w:tcPr>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23185920715332" w:lineRule="auto"/>
              <w:ind w:left="112.239990234375" w:right="245.040283203125" w:firstLine="4.7998046875"/>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Close to the Mediterranean and MIND patterns that WHO conditionally recommends</w:t>
            </w:r>
          </w:p>
        </w:tc>
      </w:tr>
      <w:tr>
        <w:trPr>
          <w:cantSplit w:val="0"/>
          <w:trHeight w:val="575.99975585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3.760070800781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Protein </w:t>
            </w:r>
          </w:p>
        </w:tc>
        <w:tc>
          <w:tcPr>
            <w:shd w:fill="auto" w:val="clear"/>
            <w:tcMar>
              <w:top w:w="100.0" w:type="dxa"/>
              <w:left w:w="100.0" w:type="dxa"/>
              <w:bottom w:w="100.0" w:type="dxa"/>
              <w:right w:w="100.0" w:type="dxa"/>
            </w:tcMar>
            <w:vAlign w:val="top"/>
          </w:tcPr>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23185920715332" w:lineRule="auto"/>
              <w:ind w:left="120.880126953125" w:right="345.040283203125" w:hanging="4.80010986328125"/>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0.8-1.0 g/kg lean mass/day under age 65</w:t>
            </w:r>
          </w:p>
        </w:tc>
        <w:tc>
          <w:tcPr>
            <w:shd w:fill="auto" w:val="clear"/>
            <w:tcMar>
              <w:top w:w="100.0" w:type="dxa"/>
              <w:left w:w="100.0" w:type="dxa"/>
              <w:bottom w:w="100.0" w:type="dxa"/>
              <w:right w:w="100.0" w:type="dxa"/>
            </w:tcMar>
            <w:vAlign w:val="top"/>
          </w:tcPr>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23185920715332" w:lineRule="auto"/>
              <w:ind w:left="122.3199462890625" w:right="245.52001953125" w:hanging="6.0797119140625"/>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Older adults with low skeletal muscle mass are roughly 60% more likely to develop dementia</w:t>
            </w:r>
          </w:p>
        </w:tc>
      </w:tr>
    </w:tbl>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9.88402366638184" w:lineRule="auto"/>
        <w:ind w:left="65" w:right="307.801513671875" w:firstLine="11.20002746582031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Insulin sensitivity is the goal underneath all of this. Bredesen targets fasting glucose of 70-90 mg/dL and HOMA-IR of 1.2 or less. The mainstream case for caring about blood sugar arrives from a different direction: diabetes carries a relative risk of about 1.7 for dementia. </w:t>
      </w:r>
    </w:p>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5.0299072265625" w:line="240" w:lineRule="auto"/>
        <w:ind w:left="77.760009765625" w:right="0" w:firstLine="0"/>
        <w:jc w:val="left"/>
        <w:rPr>
          <w:rFonts w:ascii="Arial" w:cs="Arial" w:eastAsia="Arial" w:hAnsi="Arial"/>
          <w:b w:val="1"/>
          <w:bCs w:val="1"/>
          <w:i w:val="0"/>
          <w:iCs w:val="0"/>
          <w:smallCaps w:val="0"/>
          <w:strike w:val="0"/>
          <w:color w:val="0f6b5c"/>
          <w:sz w:val="26"/>
          <w:szCs w:val="26"/>
          <w:u w:val="none"/>
          <w:shd w:fill="auto" w:val="clear"/>
          <w:vertAlign w:val="baseline"/>
        </w:rPr>
      </w:pPr>
      <w:r w:rsidDel="00000000" w:rsidR="00000000" w:rsidRPr="00000000">
        <w:rPr>
          <w:rFonts w:ascii="Arial" w:cs="Arial" w:eastAsia="Arial" w:hAnsi="Arial"/>
          <w:b w:val="1"/>
          <w:bCs w:val="1"/>
          <w:i w:val="0"/>
          <w:iCs w:val="0"/>
          <w:smallCaps w:val="0"/>
          <w:strike w:val="0"/>
          <w:color w:val="0f6b5c"/>
          <w:sz w:val="26"/>
          <w:szCs w:val="26"/>
          <w:u w:val="none"/>
          <w:shd w:fill="auto" w:val="clear"/>
          <w:vertAlign w:val="baseline"/>
          <w:rtl w:val="0"/>
        </w:rPr>
        <w:t xml:space="preserve">Every Other Component, Side by Side</w:t>
      </w:r>
    </w:p>
    <w:tbl>
      <w:tblPr>
        <w:tblStyle w:val="Table4"/>
        <w:tblW w:w="7271.999816894531" w:type="dxa"/>
        <w:jc w:val="left"/>
        <w:tblInd w:w="611.9999694824219"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223.9999389648438"/>
        <w:gridCol w:w="2232.0001220703125"/>
        <w:gridCol w:w="3815.999755859375"/>
        <w:tblGridChange w:id="0">
          <w:tblGrid>
            <w:gridCol w:w="1223.9999389648438"/>
            <w:gridCol w:w="2232.0001220703125"/>
            <w:gridCol w:w="3815.999755859375"/>
          </w:tblGrid>
        </w:tblGridChange>
      </w:tblGrid>
      <w:tr>
        <w:trPr>
          <w:cantSplit w:val="0"/>
          <w:trHeight w:val="367.99987792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i w:val="0"/>
                <w:iCs w:val="0"/>
                <w:smallCaps w:val="0"/>
                <w:strike w:val="0"/>
                <w:sz w:val="16.600000381469727"/>
                <w:szCs w:val="16.600000381469727"/>
                <w:u w:val="none"/>
                <w:shd w:fill="auto" w:val="clear"/>
                <w:vertAlign w:val="baseline"/>
              </w:rPr>
            </w:pPr>
            <w:r w:rsidDel="00000000" w:rsidR="00000000" w:rsidRPr="00000000">
              <w:rPr>
                <w:rFonts w:ascii="Arial" w:cs="Arial" w:eastAsia="Arial" w:hAnsi="Arial"/>
                <w:b w:val="1"/>
                <w:bCs w:val="1"/>
                <w:i w:val="0"/>
                <w:iCs w:val="0"/>
                <w:smallCaps w:val="0"/>
                <w:strike w:val="0"/>
                <w:sz w:val="16.600000381469727"/>
                <w:szCs w:val="16.600000381469727"/>
                <w:u w:val="none"/>
                <w:shd w:fill="auto" w:val="clear"/>
                <w:vertAlign w:val="baseline"/>
                <w:rtl w:val="0"/>
              </w:rPr>
              <w:t xml:space="preserve">Component </w:t>
            </w:r>
          </w:p>
        </w:tc>
        <w:tc>
          <w:tcPr>
            <w:shd w:fill="auto" w:val="clear"/>
            <w:tcMar>
              <w:top w:w="100.0" w:type="dxa"/>
              <w:left w:w="100.0" w:type="dxa"/>
              <w:bottom w:w="100.0" w:type="dxa"/>
              <w:right w:w="100.0" w:type="dxa"/>
            </w:tcMar>
            <w:vAlign w:val="top"/>
          </w:tcPr>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615966796875" w:right="0" w:firstLine="0"/>
              <w:jc w:val="left"/>
              <w:rPr>
                <w:rFonts w:ascii="Arial" w:cs="Arial" w:eastAsia="Arial" w:hAnsi="Arial"/>
                <w:b w:val="1"/>
                <w:bCs w:val="1"/>
                <w:i w:val="0"/>
                <w:iCs w:val="0"/>
                <w:smallCaps w:val="0"/>
                <w:strike w:val="0"/>
                <w:sz w:val="16.600000381469727"/>
                <w:szCs w:val="16.600000381469727"/>
                <w:u w:val="none"/>
                <w:shd w:fill="auto" w:val="clear"/>
                <w:vertAlign w:val="baseline"/>
              </w:rPr>
            </w:pPr>
            <w:r w:rsidDel="00000000" w:rsidR="00000000" w:rsidRPr="00000000">
              <w:rPr>
                <w:rFonts w:ascii="Arial" w:cs="Arial" w:eastAsia="Arial" w:hAnsi="Arial"/>
                <w:b w:val="1"/>
                <w:bCs w:val="1"/>
                <w:i w:val="0"/>
                <w:iCs w:val="0"/>
                <w:smallCaps w:val="0"/>
                <w:strike w:val="0"/>
                <w:sz w:val="16.600000381469727"/>
                <w:szCs w:val="16.600000381469727"/>
                <w:u w:val="none"/>
                <w:shd w:fill="auto" w:val="clear"/>
                <w:vertAlign w:val="baseline"/>
                <w:rtl w:val="0"/>
              </w:rPr>
              <w:t xml:space="preserve">Bredesen's suggestion </w:t>
            </w:r>
          </w:p>
        </w:tc>
        <w:tc>
          <w:tcPr>
            <w:shd w:fill="auto" w:val="clear"/>
            <w:tcMar>
              <w:top w:w="100.0" w:type="dxa"/>
              <w:left w:w="100.0" w:type="dxa"/>
              <w:bottom w:w="100.0" w:type="dxa"/>
              <w:right w:w="100.0" w:type="dxa"/>
            </w:tcMar>
            <w:vAlign w:val="top"/>
          </w:tcPr>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65625" w:right="0" w:firstLine="0"/>
              <w:jc w:val="left"/>
              <w:rPr>
                <w:rFonts w:ascii="Arial" w:cs="Arial" w:eastAsia="Arial" w:hAnsi="Arial"/>
                <w:b w:val="1"/>
                <w:bCs w:val="1"/>
                <w:i w:val="0"/>
                <w:iCs w:val="0"/>
                <w:smallCaps w:val="0"/>
                <w:strike w:val="0"/>
                <w:sz w:val="16.600000381469727"/>
                <w:szCs w:val="16.600000381469727"/>
                <w:u w:val="none"/>
                <w:shd w:fill="auto" w:val="clear"/>
                <w:vertAlign w:val="baseline"/>
              </w:rPr>
            </w:pPr>
            <w:r w:rsidDel="00000000" w:rsidR="00000000" w:rsidRPr="00000000">
              <w:rPr>
                <w:rFonts w:ascii="Arial" w:cs="Arial" w:eastAsia="Arial" w:hAnsi="Arial"/>
                <w:b w:val="1"/>
                <w:bCs w:val="1"/>
                <w:i w:val="0"/>
                <w:iCs w:val="0"/>
                <w:smallCaps w:val="0"/>
                <w:strike w:val="0"/>
                <w:sz w:val="16.600000381469727"/>
                <w:szCs w:val="16.600000381469727"/>
                <w:u w:val="none"/>
                <w:shd w:fill="auto" w:val="clear"/>
                <w:vertAlign w:val="baseline"/>
                <w:rtl w:val="0"/>
              </w:rPr>
              <w:t xml:space="preserve">What studies say </w:t>
            </w:r>
          </w:p>
        </w:tc>
      </w:tr>
      <w:tr>
        <w:trPr>
          <w:cantSplit w:val="0"/>
          <w:trHeight w:val="784.00024414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3.760070800781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Exercise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1.01853370666504" w:lineRule="auto"/>
              <w:ind w:left="116.08001708984375" w:right="147.7606201171875" w:hanging="3.84002685546875"/>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At least 45 min/day; aerobic 6 days/week; strength </w:t>
            </w:r>
          </w:p>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67620849609375" w:line="240" w:lineRule="auto"/>
              <w:ind w:left="114.1598510742187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2/week; intervals 2/week</w:t>
            </w:r>
          </w:p>
        </w:tc>
        <w:tc>
          <w:tcPr>
            <w:shd w:fill="auto" w:val="clear"/>
            <w:tcMar>
              <w:top w:w="100.0" w:type="dxa"/>
              <w:left w:w="100.0" w:type="dxa"/>
              <w:bottom w:w="100.0" w:type="dxa"/>
              <w:right w:w="100.0" w:type="dxa"/>
            </w:tcMar>
            <w:vAlign w:val="top"/>
          </w:tcPr>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2.12536811828613" w:lineRule="auto"/>
              <w:ind w:left="119.27978515625" w:right="344.720458984375" w:firstLine="4.8004150390625"/>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Regular physical exercise can reduce dementia risk by up to 41-45% and helps protect overall brain health</w:t>
            </w:r>
          </w:p>
        </w:tc>
      </w:tr>
      <w:tr>
        <w:trPr>
          <w:cantSplit w:val="0"/>
          <w:trHeight w:val="991.9998168945312"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7.83996582031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Sleep </w:t>
            </w:r>
          </w:p>
        </w:tc>
        <w:tc>
          <w:tcPr>
            <w:shd w:fill="auto" w:val="clear"/>
            <w:tcMar>
              <w:top w:w="100.0" w:type="dxa"/>
              <w:left w:w="100.0" w:type="dxa"/>
              <w:bottom w:w="100.0" w:type="dxa"/>
              <w:right w:w="100.0" w:type="dxa"/>
            </w:tcMar>
            <w:vAlign w:val="top"/>
          </w:tcPr>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9201049804687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7-8 hours nightly; sleep </w:t>
            </w:r>
          </w:p>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23205947875977" w:lineRule="auto"/>
              <w:ind w:left="115.7598876953125" w:right="111.9207763671875" w:firstLine="4.64019775390625"/>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hygiene; find and treat sleep apnea</w:t>
            </w:r>
          </w:p>
        </w:tc>
        <w:tc>
          <w:tcPr>
            <w:shd w:fill="auto" w:val="clear"/>
            <w:tcMar>
              <w:top w:w="100.0" w:type="dxa"/>
              <w:left w:w="100.0" w:type="dxa"/>
              <w:bottom w:w="100.0" w:type="dxa"/>
              <w:right w:w="100.0" w:type="dxa"/>
            </w:tcMar>
            <w:vAlign w:val="top"/>
          </w:tcPr>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8.4230899810791" w:lineRule="auto"/>
              <w:ind w:left="115.5999755859375" w:right="148.560791015625" w:firstLine="8.1597900390625"/>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Poor sleep is linked to higher risk of cognitive decline and dementia, largely because deep sleep allows the brain to clear toxic waste proteins like beta-amyloid</w:t>
            </w:r>
          </w:p>
        </w:tc>
      </w:tr>
    </w:tbl>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5"/>
        <w:tblW w:w="7271.999816894531" w:type="dxa"/>
        <w:jc w:val="left"/>
        <w:tblInd w:w="611.9999694824219"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223.9999389648438"/>
        <w:gridCol w:w="2232.0001220703125"/>
        <w:gridCol w:w="3815.999755859375"/>
        <w:tblGridChange w:id="0">
          <w:tblGrid>
            <w:gridCol w:w="1223.9999389648438"/>
            <w:gridCol w:w="2232.0001220703125"/>
            <w:gridCol w:w="3815.999755859375"/>
          </w:tblGrid>
        </w:tblGridChange>
      </w:tblGrid>
      <w:tr>
        <w:trPr>
          <w:cantSplit w:val="0"/>
          <w:trHeight w:val="368.0004882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i w:val="0"/>
                <w:iCs w:val="0"/>
                <w:smallCaps w:val="0"/>
                <w:strike w:val="0"/>
                <w:sz w:val="16.600000381469727"/>
                <w:szCs w:val="16.600000381469727"/>
                <w:u w:val="none"/>
                <w:shd w:fill="auto" w:val="clear"/>
                <w:vertAlign w:val="baseline"/>
              </w:rPr>
            </w:pPr>
            <w:r w:rsidDel="00000000" w:rsidR="00000000" w:rsidRPr="00000000">
              <w:rPr>
                <w:rFonts w:ascii="Arial" w:cs="Arial" w:eastAsia="Arial" w:hAnsi="Arial"/>
                <w:b w:val="1"/>
                <w:bCs w:val="1"/>
                <w:i w:val="0"/>
                <w:iCs w:val="0"/>
                <w:smallCaps w:val="0"/>
                <w:strike w:val="0"/>
                <w:sz w:val="16.600000381469727"/>
                <w:szCs w:val="16.600000381469727"/>
                <w:u w:val="none"/>
                <w:shd w:fill="auto" w:val="clear"/>
                <w:vertAlign w:val="baseline"/>
                <w:rtl w:val="0"/>
              </w:rPr>
              <w:t xml:space="preserve">Component </w:t>
            </w:r>
          </w:p>
        </w:tc>
        <w:tc>
          <w:tcPr>
            <w:shd w:fill="auto" w:val="clear"/>
            <w:tcMar>
              <w:top w:w="100.0" w:type="dxa"/>
              <w:left w:w="100.0" w:type="dxa"/>
              <w:bottom w:w="100.0" w:type="dxa"/>
              <w:right w:w="100.0" w:type="dxa"/>
            </w:tcMar>
            <w:vAlign w:val="top"/>
          </w:tcPr>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615966796875" w:right="0" w:firstLine="0"/>
              <w:jc w:val="left"/>
              <w:rPr>
                <w:rFonts w:ascii="Arial" w:cs="Arial" w:eastAsia="Arial" w:hAnsi="Arial"/>
                <w:b w:val="1"/>
                <w:bCs w:val="1"/>
                <w:i w:val="0"/>
                <w:iCs w:val="0"/>
                <w:smallCaps w:val="0"/>
                <w:strike w:val="0"/>
                <w:sz w:val="16.600000381469727"/>
                <w:szCs w:val="16.600000381469727"/>
                <w:u w:val="none"/>
                <w:shd w:fill="auto" w:val="clear"/>
                <w:vertAlign w:val="baseline"/>
              </w:rPr>
            </w:pPr>
            <w:r w:rsidDel="00000000" w:rsidR="00000000" w:rsidRPr="00000000">
              <w:rPr>
                <w:rFonts w:ascii="Arial" w:cs="Arial" w:eastAsia="Arial" w:hAnsi="Arial"/>
                <w:b w:val="1"/>
                <w:bCs w:val="1"/>
                <w:i w:val="0"/>
                <w:iCs w:val="0"/>
                <w:smallCaps w:val="0"/>
                <w:strike w:val="0"/>
                <w:sz w:val="16.600000381469727"/>
                <w:szCs w:val="16.600000381469727"/>
                <w:u w:val="none"/>
                <w:shd w:fill="auto" w:val="clear"/>
                <w:vertAlign w:val="baseline"/>
                <w:rtl w:val="0"/>
              </w:rPr>
              <w:t xml:space="preserve">Bredesen's suggestion </w:t>
            </w:r>
          </w:p>
        </w:tc>
        <w:tc>
          <w:tcPr>
            <w:shd w:fill="auto" w:val="clear"/>
            <w:tcMar>
              <w:top w:w="100.0" w:type="dxa"/>
              <w:left w:w="100.0" w:type="dxa"/>
              <w:bottom w:w="100.0" w:type="dxa"/>
              <w:right w:w="100.0" w:type="dxa"/>
            </w:tcMar>
            <w:vAlign w:val="top"/>
          </w:tcPr>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65625" w:right="0" w:firstLine="0"/>
              <w:jc w:val="left"/>
              <w:rPr>
                <w:rFonts w:ascii="Arial" w:cs="Arial" w:eastAsia="Arial" w:hAnsi="Arial"/>
                <w:b w:val="1"/>
                <w:bCs w:val="1"/>
                <w:i w:val="0"/>
                <w:iCs w:val="0"/>
                <w:smallCaps w:val="0"/>
                <w:strike w:val="0"/>
                <w:sz w:val="16.600000381469727"/>
                <w:szCs w:val="16.600000381469727"/>
                <w:u w:val="none"/>
                <w:shd w:fill="auto" w:val="clear"/>
                <w:vertAlign w:val="baseline"/>
              </w:rPr>
            </w:pPr>
            <w:r w:rsidDel="00000000" w:rsidR="00000000" w:rsidRPr="00000000">
              <w:rPr>
                <w:rFonts w:ascii="Arial" w:cs="Arial" w:eastAsia="Arial" w:hAnsi="Arial"/>
                <w:b w:val="1"/>
                <w:bCs w:val="1"/>
                <w:i w:val="0"/>
                <w:iCs w:val="0"/>
                <w:smallCaps w:val="0"/>
                <w:strike w:val="0"/>
                <w:sz w:val="16.600000381469727"/>
                <w:szCs w:val="16.600000381469727"/>
                <w:u w:val="none"/>
                <w:shd w:fill="auto" w:val="clear"/>
                <w:vertAlign w:val="baseline"/>
                <w:rtl w:val="0"/>
              </w:rPr>
              <w:t xml:space="preserve">What studies say </w:t>
            </w:r>
          </w:p>
        </w:tc>
      </w:tr>
      <w:tr>
        <w:trPr>
          <w:cantSplit w:val="0"/>
          <w:trHeight w:val="991.9995117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7.83996582031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Stress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31994628906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HeartMath-style </w:t>
            </w:r>
          </w:p>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1.0192060470581" w:lineRule="auto"/>
              <w:ind w:left="119.28009033203125" w:right="294.32037353515625"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biofeedback 10+ min/day, plus breathing and </w:t>
            </w:r>
          </w:p>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67529296875" w:line="240" w:lineRule="auto"/>
              <w:ind w:left="120.4000854492187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meditation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2.12519645690918" w:lineRule="auto"/>
              <w:ind w:left="112.239990234375" w:right="291.4404296875" w:firstLine="4.7998046875"/>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Chronic stress helps harmful proteins build up in the brain, linked to conditions like Alzheimer's disease</w:t>
            </w:r>
          </w:p>
        </w:tc>
      </w:tr>
      <w:tr>
        <w:trPr>
          <w:cantSplit w:val="0"/>
          <w:trHeight w:val="991.9995117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7.03994750976562"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Cognitive </w:t>
            </w:r>
          </w:p>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939453125" w:line="240" w:lineRule="auto"/>
              <w:ind w:left="112.23999023437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training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1.0192060470581" w:lineRule="auto"/>
              <w:ind w:left="126.15997314453125" w:right="343.4405517578125" w:hanging="4.320068359375"/>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Brain games and training 15+ min/day, 3-6 </w:t>
            </w:r>
          </w:p>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67529296875" w:line="240" w:lineRule="auto"/>
              <w:ind w:left="120.7199096679687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levels/week</w:t>
            </w:r>
          </w:p>
        </w:tc>
        <w:tc>
          <w:tcPr>
            <w:shd w:fill="auto" w:val="clear"/>
            <w:tcMar>
              <w:top w:w="100.0" w:type="dxa"/>
              <w:left w:w="100.0" w:type="dxa"/>
              <w:bottom w:w="100.0" w:type="dxa"/>
              <w:right w:w="100.0" w:type="dxa"/>
            </w:tcMar>
            <w:vAlign w:val="top"/>
          </w:tcPr>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8.42276096343994" w:lineRule="auto"/>
              <w:ind w:left="112.239990234375" w:right="193.84033203125" w:hanging="2.8802490234375"/>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ACTIVE randomized 2,802 older adults with 10-year follow-up; US POINTER used BrainHQ in its winning arm; gains are mostly in the trained skills</w:t>
            </w:r>
          </w:p>
        </w:tc>
      </w:tr>
      <w:tr>
        <w:trPr>
          <w:cantSplit w:val="0"/>
          <w:trHeight w:val="992.00073242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160034179687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Nutrient </w:t>
            </w:r>
          </w:p>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939453125" w:line="240" w:lineRule="auto"/>
              <w:ind w:left="115.599975585937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deficiencies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1.01784706115723" w:lineRule="auto"/>
              <w:ind w:left="115.7598876953125" w:right="138.9605712890625" w:firstLine="6.56005859375"/>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Homocysteine below 7, B12 above 500, </w:t>
            </w:r>
          </w:p>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676513671875" w:line="253.231201171875" w:lineRule="auto"/>
              <w:ind w:left="112.239990234375" w:right="405.8404541015625" w:firstLine="8.16009521484375"/>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methyl-B12/methylfolate forms</w:t>
            </w:r>
          </w:p>
        </w:tc>
        <w:tc>
          <w:tcPr>
            <w:shd w:fill="auto" w:val="clear"/>
            <w:tcMar>
              <w:top w:w="100.0" w:type="dxa"/>
              <w:left w:w="100.0" w:type="dxa"/>
              <w:bottom w:w="100.0" w:type="dxa"/>
              <w:right w:w="100.0" w:type="dxa"/>
            </w:tcMar>
            <w:vAlign w:val="top"/>
          </w:tcPr>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231201171875" w:lineRule="auto"/>
              <w:ind w:left="112.239990234375" w:right="371.280517578125" w:firstLine="4.7998046875"/>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Concurrent nutrient deficiencies are associated with dementia incidence</w:t>
            </w:r>
          </w:p>
        </w:tc>
      </w:tr>
      <w:tr>
        <w:trPr>
          <w:cantSplit w:val="0"/>
          <w:trHeight w:val="120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31994628906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Hormone </w:t>
            </w:r>
          </w:p>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939453125" w:line="240" w:lineRule="auto"/>
              <w:ind w:left="116.39999389648438"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evaluation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1.0192060470581" w:lineRule="auto"/>
              <w:ind w:left="116.400146484375" w:right="156.8804931640625" w:firstLine="7.35992431640625"/>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Full panel including cortisol, estradiol, thyroid, </w:t>
            </w:r>
          </w:p>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67529296875" w:line="242.125883102417" w:lineRule="auto"/>
              <w:ind w:left="116.400146484375" w:right="298.9605712890625" w:hanging="4.16015625"/>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testosterone; bio-identical hormone therapy "when clinically indicated"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2.12519645690918" w:lineRule="auto"/>
              <w:ind w:left="115.5999755859375" w:right="157.840576171875" w:hanging="3.0401611328125"/>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Women who used estrogen-only hormone therapy had 39% lower odds of a clinical dementia diagnosis</w:t>
            </w:r>
          </w:p>
        </w:tc>
      </w:tr>
      <w:tr>
        <w:trPr>
          <w:cantSplit w:val="0"/>
          <w:trHeight w:val="783.999633789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Inflammation </w:t>
            </w:r>
          </w:p>
        </w:tc>
        <w:tc>
          <w:tcPr>
            <w:shd w:fill="auto" w:val="clear"/>
            <w:tcMar>
              <w:top w:w="100.0" w:type="dxa"/>
              <w:left w:w="100.0" w:type="dxa"/>
              <w:bottom w:w="100.0" w:type="dxa"/>
              <w:right w:w="100.0" w:type="dxa"/>
            </w:tcMar>
            <w:vAlign w:val="top"/>
          </w:tcPr>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3.760070800781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Panel of hs-CRP, IL-6, </w:t>
            </w:r>
          </w:p>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23185920715332" w:lineRule="auto"/>
              <w:ind w:left="120.880126953125" w:right="263.7603759765625" w:hanging="8.64013671875"/>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TNF-alpha; hs-CRP target under 0.9 mg/L</w:t>
            </w:r>
          </w:p>
        </w:tc>
        <w:tc>
          <w:tcPr>
            <w:shd w:fill="auto" w:val="clear"/>
            <w:tcMar>
              <w:top w:w="100.0" w:type="dxa"/>
              <w:left w:w="100.0" w:type="dxa"/>
              <w:bottom w:w="100.0" w:type="dxa"/>
              <w:right w:w="100.0" w:type="dxa"/>
            </w:tcMar>
            <w:vAlign w:val="top"/>
          </w:tcPr>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2.1255397796631" w:lineRule="auto"/>
              <w:ind w:left="115.7598876953125" w:right="646.96044921875" w:firstLine="2.080078125"/>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Systemic and brain-specific inflammation accelerates production of toxic proteins like beta-amyloid and tau</w:t>
            </w:r>
          </w:p>
        </w:tc>
      </w:tr>
      <w:tr>
        <w:trPr>
          <w:cantSplit w:val="0"/>
          <w:trHeight w:val="992.000122070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4.559936523437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Infection </w:t>
            </w:r>
          </w:p>
        </w:tc>
        <w:tc>
          <w:tcPr>
            <w:shd w:fill="auto" w:val="clear"/>
            <w:tcMar>
              <w:top w:w="100.0" w:type="dxa"/>
              <w:left w:w="100.0" w:type="dxa"/>
              <w:bottom w:w="100.0" w:type="dxa"/>
              <w:right w:w="100.0" w:type="dxa"/>
            </w:tcMar>
            <w:vAlign w:val="top"/>
          </w:tcPr>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1.0188627243042" w:lineRule="auto"/>
              <w:ind w:left="120.40008544921875" w:right="298.64044189453125" w:firstLine="3.3599853515625"/>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Find and treat pathogens, including valacyclovir for herpes simplex, plus </w:t>
            </w:r>
          </w:p>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6759033203125" w:line="240" w:lineRule="auto"/>
              <w:ind w:left="112.23999023437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tick-borne illness</w:t>
            </w:r>
          </w:p>
        </w:tc>
        <w:tc>
          <w:tcPr>
            <w:shd w:fill="auto" w:val="clear"/>
            <w:tcMar>
              <w:top w:w="100.0" w:type="dxa"/>
              <w:left w:w="100.0" w:type="dxa"/>
              <w:bottom w:w="100.0" w:type="dxa"/>
              <w:right w:w="100.0" w:type="dxa"/>
            </w:tcMar>
            <w:vAlign w:val="top"/>
          </w:tcPr>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2.1255397796631" w:lineRule="auto"/>
              <w:ind w:left="115.1202392578125" w:right="175.92041015625" w:firstLine="1.9195556640625"/>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Contradicted: in VALAD, herpes-positive early-AD patients on valacyclovir did worse on cognitive scores; authors do not recommend it</w:t>
            </w:r>
          </w:p>
        </w:tc>
      </w:tr>
      <w:tr>
        <w:trPr>
          <w:cantSplit w:val="0"/>
          <w:trHeight w:val="992.000122070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23185920715332" w:lineRule="auto"/>
              <w:ind w:left="120.39993286132812" w:right="162.6397705078125" w:hanging="8.159942626953125"/>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Toxins/enviro nment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23999023437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Test for heavy metals, </w:t>
            </w:r>
          </w:p>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2.1255397796631" w:lineRule="auto"/>
              <w:ind w:left="120.40008544921875" w:right="254.6405029296875" w:hanging="4.80010986328125"/>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organic chemicals, mold; remediate water-damaged homes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2.1255397796631" w:lineRule="auto"/>
              <w:ind w:left="112.239990234375" w:right="109.840087890625" w:hanging="1.920166015625"/>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Air pollution is a recognized risk factor, and WHO's 2026 update recommends reducing household air pollution</w:t>
            </w:r>
          </w:p>
        </w:tc>
      </w:tr>
      <w:tr>
        <w:trPr>
          <w:cantSplit w:val="0"/>
          <w:trHeight w:val="783.999633789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2399291992187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Oral health </w:t>
            </w:r>
          </w:p>
        </w:tc>
        <w:tc>
          <w:tcPr>
            <w:shd w:fill="auto" w:val="clear"/>
            <w:tcMar>
              <w:top w:w="100.0" w:type="dxa"/>
              <w:left w:w="100.0" w:type="dxa"/>
              <w:bottom w:w="100.0" w:type="dxa"/>
              <w:right w:w="100.0" w:type="dxa"/>
            </w:tcMar>
            <w:vAlign w:val="top"/>
          </w:tcPr>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23185920715332" w:lineRule="auto"/>
              <w:ind w:left="115.7598876953125" w:right="228.2403564453125" w:firstLine="0.48004150390625"/>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Oral microbiome assessed and treated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2.1255397796631" w:lineRule="auto"/>
              <w:ind w:left="112.239990234375" w:right="158.160400390625" w:firstLine="1.920166015625"/>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20 observational studies link gum disease to cognitive impairment (OR 1.77), </w:t>
            </w:r>
          </w:p>
        </w:tc>
      </w:tr>
      <w:tr>
        <w:trPr>
          <w:cantSplit w:val="0"/>
          <w:trHeight w:val="784.00024414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7.680053710937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Gut health </w:t>
            </w:r>
          </w:p>
        </w:tc>
        <w:tc>
          <w:tcPr>
            <w:shd w:fill="auto" w:val="clear"/>
            <w:tcMar>
              <w:top w:w="100.0" w:type="dxa"/>
              <w:left w:w="100.0" w:type="dxa"/>
              <w:bottom w:w="100.0" w:type="dxa"/>
              <w:right w:w="100.0" w:type="dxa"/>
            </w:tcMar>
            <w:vAlign w:val="top"/>
          </w:tcPr>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1.0192060470581" w:lineRule="auto"/>
              <w:ind w:left="119.28009033203125" w:right="103.1207275390625" w:hanging="1.60003662109375"/>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GI evaluation and treatment; prebiotic fiber, resistant </w:t>
            </w:r>
          </w:p>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67529296875" w:line="240" w:lineRule="auto"/>
              <w:ind w:left="115.119934082031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starch, fermented foods</w:t>
            </w:r>
          </w:p>
        </w:tc>
        <w:tc>
          <w:tcPr>
            <w:shd w:fill="auto" w:val="clear"/>
            <w:tcMar>
              <w:top w:w="100.0" w:type="dxa"/>
              <w:left w:w="100.0" w:type="dxa"/>
              <w:bottom w:w="100.0" w:type="dxa"/>
              <w:right w:w="100.0" w:type="dxa"/>
            </w:tcMar>
            <w:vAlign w:val="top"/>
          </w:tcPr>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1.0192060470581" w:lineRule="auto"/>
              <w:ind w:left="115.7598876953125" w:right="90" w:hanging="3.5198974609375"/>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The gut microbiome is closely linked to brain health and dementia development, particularly </w:t>
            </w:r>
          </w:p>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67529296875" w:line="240" w:lineRule="auto"/>
              <w:ind w:left="112.23999023437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Alzheimer's disease</w:t>
            </w:r>
          </w:p>
        </w:tc>
      </w:tr>
    </w:tbl>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7.760009765625" w:right="0" w:firstLine="0"/>
        <w:jc w:val="left"/>
        <w:rPr>
          <w:rFonts w:ascii="Arial" w:cs="Arial" w:eastAsia="Arial" w:hAnsi="Arial"/>
          <w:b w:val="1"/>
          <w:bCs w:val="1"/>
          <w:i w:val="0"/>
          <w:iCs w:val="0"/>
          <w:smallCaps w:val="0"/>
          <w:strike w:val="0"/>
          <w:color w:val="0f6b5c"/>
          <w:sz w:val="26"/>
          <w:szCs w:val="26"/>
          <w:u w:val="none"/>
          <w:shd w:fill="auto" w:val="clear"/>
          <w:vertAlign w:val="baseline"/>
        </w:rPr>
      </w:pPr>
      <w:r w:rsidDel="00000000" w:rsidR="00000000" w:rsidRPr="00000000">
        <w:rPr>
          <w:rFonts w:ascii="Arial" w:cs="Arial" w:eastAsia="Arial" w:hAnsi="Arial"/>
          <w:b w:val="1"/>
          <w:bCs w:val="1"/>
          <w:i w:val="0"/>
          <w:iCs w:val="0"/>
          <w:smallCaps w:val="0"/>
          <w:strike w:val="0"/>
          <w:color w:val="0f6b5c"/>
          <w:sz w:val="26"/>
          <w:szCs w:val="26"/>
          <w:u w:val="none"/>
          <w:shd w:fill="auto" w:val="clear"/>
          <w:vertAlign w:val="baseline"/>
          <w:rtl w:val="0"/>
        </w:rPr>
        <w:t xml:space="preserve">Published Criticism, Stated Fairly </w:t>
      </w:r>
    </w:p>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6.57958984375" w:line="289.88402366638184" w:lineRule="auto"/>
        <w:ind w:left="64.4000244140625" w:right="272.40234375" w:firstLine="2.3999786376953125"/>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Cost.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Reported figures for the full ReCODE program include a $1,399 referral fee, $75/month subscriptions, supplements running $150 to $1,000/month, consults above $300, packages up to $10,500, and family totals above $15,000 — one family reportedly spent $25,000 in eight months, then stopped. Insurance generally covers little. </w:t>
      </w:r>
    </w:p>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5.030517578125" w:line="289.88402366638184" w:lineRule="auto"/>
        <w:ind w:left="60.800018310546875" w:right="173.0029296875"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The counterpoint.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Supporters make several points. First, the underlying idea — that dementia risk is multifactorial and attacking several factors at once beats attacking one — is now mainstream and is exactly what FINGER and US POINTER tested. Second, a randomized trial of a Bredesen-style protocol now exists, was foundation-funded, and reported large gains with only one serious adverse event judged unrelated. Third, even the leading critic agrees that aerobic exercise, a Mediterranean diet, cognitive and social engagement, and vascular risk management may benefit cognition. </w:t>
      </w:r>
    </w:p>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5.030517578125" w:line="240" w:lineRule="auto"/>
        <w:ind w:left="62.1600341796875" w:right="0" w:firstLine="0"/>
        <w:jc w:val="left"/>
        <w:rPr>
          <w:rFonts w:ascii="Arial" w:cs="Arial" w:eastAsia="Arial" w:hAnsi="Arial"/>
          <w:b w:val="1"/>
          <w:bCs w:val="1"/>
          <w:i w:val="0"/>
          <w:iCs w:val="0"/>
          <w:smallCaps w:val="0"/>
          <w:strike w:val="0"/>
          <w:color w:val="0f6b5c"/>
          <w:sz w:val="26"/>
          <w:szCs w:val="26"/>
          <w:u w:val="none"/>
          <w:shd w:fill="auto" w:val="clear"/>
          <w:vertAlign w:val="baseline"/>
        </w:rPr>
      </w:pPr>
      <w:r w:rsidDel="00000000" w:rsidR="00000000" w:rsidRPr="00000000">
        <w:rPr>
          <w:rFonts w:ascii="Arial" w:cs="Arial" w:eastAsia="Arial" w:hAnsi="Arial"/>
          <w:b w:val="1"/>
          <w:bCs w:val="1"/>
          <w:i w:val="0"/>
          <w:iCs w:val="0"/>
          <w:smallCaps w:val="0"/>
          <w:strike w:val="0"/>
          <w:color w:val="0f6b5c"/>
          <w:sz w:val="26"/>
          <w:szCs w:val="26"/>
          <w:u w:val="none"/>
          <w:shd w:fill="auto" w:val="clear"/>
          <w:vertAlign w:val="baseline"/>
          <w:rtl w:val="0"/>
        </w:rPr>
        <w:t xml:space="preserve">Why This Guide Builds on KetoFLEX 12/3 </w:t>
      </w:r>
    </w:p>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6.57958984375" w:line="289.88402366638184" w:lineRule="auto"/>
        <w:ind w:left="65.20004272460938" w:right="96.20361328125" w:hanging="4.4000244140625"/>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This guide keeps KetoFLEX 12/3 as its food framework because its everyday core — plant-rich, high-fiber, low-sugar eating, an overnight fast, and no late-night meals — closely resembles the Mediterranean and MIND patterns that mainstream guidelines conditionally recommend. It is free, and it moves blood sugar, weight, and blood pressure within weeks. This guide grades every claim honestly and does not adopt strict ketone targets, grain and dairy elimination, supplement stacks, hormone therapy, or costly specialty panels, and it never calls any of it prevention.</w:t>
      </w:r>
    </w:p>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1.25999450683594" w:right="0" w:firstLine="0"/>
        <w:jc w:val="left"/>
        <w:rPr>
          <w:rFonts w:ascii="Arial" w:cs="Arial" w:eastAsia="Arial" w:hAnsi="Arial"/>
          <w:b w:val="1"/>
          <w:bCs w:val="1"/>
          <w:i w:val="0"/>
          <w:iCs w:val="0"/>
          <w:smallCaps w:val="0"/>
          <w:strike w:val="0"/>
          <w:color w:val="1b3a4b"/>
          <w:sz w:val="34"/>
          <w:szCs w:val="34"/>
          <w:u w:val="none"/>
          <w:shd w:fill="auto" w:val="clear"/>
          <w:vertAlign w:val="baseline"/>
        </w:rPr>
      </w:pPr>
      <w:r w:rsidDel="00000000" w:rsidR="00000000" w:rsidRPr="00000000">
        <w:rPr>
          <w:rFonts w:ascii="Arial" w:cs="Arial" w:eastAsia="Arial" w:hAnsi="Arial"/>
          <w:b w:val="1"/>
          <w:bCs w:val="1"/>
          <w:i w:val="0"/>
          <w:iCs w:val="0"/>
          <w:smallCaps w:val="0"/>
          <w:strike w:val="0"/>
          <w:color w:val="1b3a4b"/>
          <w:sz w:val="34"/>
          <w:szCs w:val="34"/>
          <w:u w:val="none"/>
          <w:shd w:fill="auto" w:val="clear"/>
          <w:vertAlign w:val="baseline"/>
          <w:rtl w:val="0"/>
        </w:rPr>
        <w:t xml:space="preserve">Section 2: Food and Fasting Foundations </w:t>
      </w:r>
    </w:p>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3.22021484375" w:line="284.0968608856201" w:lineRule="auto"/>
        <w:ind w:left="74.34005737304688" w:right="252.596435546875" w:hanging="1.9000244140625"/>
        <w:jc w:val="left"/>
        <w:rPr>
          <w:rFonts w:ascii="Arial" w:cs="Arial" w:eastAsia="Arial" w:hAnsi="Arial"/>
          <w:b w:val="0"/>
          <w:bCs w:val="0"/>
          <w:i w:val="0"/>
          <w:iCs w:val="0"/>
          <w:smallCaps w:val="0"/>
          <w:strike w:val="0"/>
          <w:color w:val="1b3a4b"/>
          <w:sz w:val="19"/>
          <w:szCs w:val="19"/>
          <w:u w:val="none"/>
          <w:shd w:fill="auto" w:val="clear"/>
          <w:vertAlign w:val="baseline"/>
        </w:rPr>
      </w:pPr>
      <w:r w:rsidDel="00000000" w:rsidR="00000000" w:rsidRPr="00000000">
        <w:rPr>
          <w:rFonts w:ascii="Arial" w:cs="Arial" w:eastAsia="Arial" w:hAnsi="Arial"/>
          <w:b w:val="1"/>
          <w:bCs w:val="1"/>
          <w:i w:val="0"/>
          <w:iCs w:val="0"/>
          <w:smallCaps w:val="0"/>
          <w:strike w:val="0"/>
          <w:color w:val="1b3a4b"/>
          <w:sz w:val="19"/>
          <w:szCs w:val="19"/>
          <w:u w:val="none"/>
          <w:shd w:fill="auto" w:val="clear"/>
          <w:vertAlign w:val="baseline"/>
          <w:rtl w:val="0"/>
        </w:rPr>
        <w:t xml:space="preserve">Bottom line: </w:t>
      </w:r>
      <w:r w:rsidDel="00000000" w:rsidR="00000000" w:rsidRPr="00000000">
        <w:rPr>
          <w:rFonts w:ascii="Arial" w:cs="Arial" w:eastAsia="Arial" w:hAnsi="Arial"/>
          <w:b w:val="0"/>
          <w:bCs w:val="0"/>
          <w:i w:val="0"/>
          <w:iCs w:val="0"/>
          <w:smallCaps w:val="0"/>
          <w:strike w:val="0"/>
          <w:color w:val="1b3a4b"/>
          <w:sz w:val="19"/>
          <w:szCs w:val="19"/>
          <w:u w:val="none"/>
          <w:shd w:fill="auto" w:val="clear"/>
          <w:vertAlign w:val="baseline"/>
          <w:rtl w:val="0"/>
        </w:rPr>
        <w:t xml:space="preserve">KetoFLEX 12/3 is a plant-forward, lower-carbohydrate way of eating with a 12-hour overnight fast. Its food choices overlap with the best-supported brain-healthy diets. </w:t>
      </w:r>
    </w:p>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3.360595703125" w:line="240" w:lineRule="auto"/>
        <w:ind w:left="77.760009765625" w:right="0" w:firstLine="0"/>
        <w:jc w:val="left"/>
        <w:rPr>
          <w:rFonts w:ascii="Arial" w:cs="Arial" w:eastAsia="Arial" w:hAnsi="Arial"/>
          <w:b w:val="1"/>
          <w:bCs w:val="1"/>
          <w:i w:val="0"/>
          <w:iCs w:val="0"/>
          <w:smallCaps w:val="0"/>
          <w:strike w:val="0"/>
          <w:color w:val="0f6b5c"/>
          <w:sz w:val="26"/>
          <w:szCs w:val="26"/>
          <w:u w:val="none"/>
          <w:shd w:fill="auto" w:val="clear"/>
          <w:vertAlign w:val="baseline"/>
        </w:rPr>
      </w:pPr>
      <w:r w:rsidDel="00000000" w:rsidR="00000000" w:rsidRPr="00000000">
        <w:rPr>
          <w:rFonts w:ascii="Arial" w:cs="Arial" w:eastAsia="Arial" w:hAnsi="Arial"/>
          <w:b w:val="1"/>
          <w:bCs w:val="1"/>
          <w:i w:val="0"/>
          <w:iCs w:val="0"/>
          <w:smallCaps w:val="0"/>
          <w:strike w:val="0"/>
          <w:color w:val="0f6b5c"/>
          <w:sz w:val="26"/>
          <w:szCs w:val="26"/>
          <w:u w:val="none"/>
          <w:shd w:fill="auto" w:val="clear"/>
          <w:vertAlign w:val="baseline"/>
          <w:rtl w:val="0"/>
        </w:rPr>
        <w:t xml:space="preserve">Four Words You Need </w:t>
      </w:r>
    </w:p>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6.57958984375" w:line="299.88000869750977" w:lineRule="auto"/>
        <w:ind w:left="61.060028076171875" w:right="207.200927734375"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8.333333333333336"/>
          <w:szCs w:val="28.333333333333336"/>
          <w:u w:val="none"/>
          <w:shd w:fill="auto" w:val="clear"/>
          <w:vertAlign w:val="superscript"/>
          <w:rtl w:val="0"/>
        </w:rPr>
        <w:t xml:space="preserve">• </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Ketosis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when your body breaks down stored and dietary fat for fuel instead of relying mainly on sugar </w:t>
      </w:r>
    </w:p>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6.57958984375" w:line="299.88000869750977" w:lineRule="auto"/>
        <w:ind w:left="61.060028076171875" w:right="207.200927734375"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8.333333333333336"/>
          <w:szCs w:val="28.333333333333336"/>
          <w:u w:val="none"/>
          <w:shd w:fill="auto" w:val="clear"/>
          <w:vertAlign w:val="superscript"/>
          <w:rtl w:val="0"/>
        </w:rPr>
        <w:t xml:space="preserve">• </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Ketones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the fuel molecules your liver makes from fat; the one measured in studies is beta-hydroxybutyrate (BHB) </w:t>
      </w:r>
    </w:p>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535400390625" w:line="276.07998847961426" w:lineRule="auto"/>
        <w:ind w:left="464.4000244140625" w:right="385.201416015625" w:hanging="403.3399963378906"/>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8.333333333333336"/>
          <w:szCs w:val="28.333333333333336"/>
          <w:u w:val="none"/>
          <w:shd w:fill="auto" w:val="clear"/>
          <w:vertAlign w:val="superscript"/>
          <w:rtl w:val="0"/>
        </w:rPr>
        <w:t xml:space="preserve">• </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Insulin resistance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when your body stops responding well to insulin, so it must make more to do the same job </w:t>
      </w:r>
    </w:p>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3.360595703125" w:line="240" w:lineRule="auto"/>
        <w:ind w:left="61.060028076171875"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8.333333333333336"/>
          <w:szCs w:val="28.333333333333336"/>
          <w:u w:val="none"/>
          <w:shd w:fill="auto" w:val="clear"/>
          <w:vertAlign w:val="superscript"/>
          <w:rtl w:val="0"/>
        </w:rPr>
        <w:t xml:space="preserve">• </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Metabolic flexibility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the capacity to smoothly switch between burning glucose and burning fat for fuel </w:t>
      </w:r>
    </w:p>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4.930419921875" w:line="240" w:lineRule="auto"/>
        <w:ind w:left="76.46003723144531" w:right="0" w:firstLine="0"/>
        <w:jc w:val="left"/>
        <w:rPr>
          <w:rFonts w:ascii="Arial" w:cs="Arial" w:eastAsia="Arial" w:hAnsi="Arial"/>
          <w:b w:val="1"/>
          <w:bCs w:val="1"/>
          <w:i w:val="0"/>
          <w:iCs w:val="0"/>
          <w:smallCaps w:val="0"/>
          <w:strike w:val="0"/>
          <w:color w:val="0f6b5c"/>
          <w:sz w:val="26"/>
          <w:szCs w:val="26"/>
          <w:u w:val="none"/>
          <w:shd w:fill="auto" w:val="clear"/>
          <w:vertAlign w:val="baseline"/>
        </w:rPr>
      </w:pPr>
      <w:r w:rsidDel="00000000" w:rsidR="00000000" w:rsidRPr="00000000">
        <w:rPr>
          <w:rFonts w:ascii="Arial" w:cs="Arial" w:eastAsia="Arial" w:hAnsi="Arial"/>
          <w:b w:val="1"/>
          <w:bCs w:val="1"/>
          <w:i w:val="0"/>
          <w:iCs w:val="0"/>
          <w:smallCaps w:val="0"/>
          <w:strike w:val="0"/>
          <w:color w:val="0f6b5c"/>
          <w:sz w:val="26"/>
          <w:szCs w:val="26"/>
          <w:u w:val="none"/>
          <w:shd w:fill="auto" w:val="clear"/>
          <w:vertAlign w:val="baseline"/>
          <w:rtl w:val="0"/>
        </w:rPr>
        <w:t xml:space="preserve">How It Is Meant to Work </w:t>
      </w:r>
    </w:p>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6.57958984375" w:line="289.88402366638184" w:lineRule="auto"/>
        <w:ind w:left="69.60006713867188" w:right="341.202392578125" w:hanging="8.800048828125"/>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 published description is plant-rich but not plant-exclusive, high in fiber, mildly ketogenic, low in glycemic load, heavy on leafy greens and non-starchy vegetables, and high in unsaturated fats. Vegetables form the base of the plate, healthy fats supply most calories, and protein is adequate but not extreme. </w:t>
      </w:r>
    </w:p>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5.0299072265625" w:line="289.88402366638184" w:lineRule="auto"/>
        <w:ind w:left="64.4000244140625" w:right="37.999267578125" w:hanging="3.600006103515625"/>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 claimed effects are broad: insulin sensitivity, better fuel supply to neurons, improved mitochondrial function, less inflammation, and raw materials for synapses. The "brain fuel" idea has a mechanistic anchor — PET scans show the brain takes up ketones when they're available — but that is uptake, not proof that a fuel shortfall was corrected. No randomized trial of KetoFLEX 12/3 as a whole exists. </w:t>
      </w:r>
    </w:p>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5.0299072265625" w:line="240" w:lineRule="auto"/>
        <w:ind w:left="74.64004516601562" w:right="0" w:firstLine="0"/>
        <w:jc w:val="left"/>
        <w:rPr>
          <w:rFonts w:ascii="Arial" w:cs="Arial" w:eastAsia="Arial" w:hAnsi="Arial"/>
          <w:b w:val="1"/>
          <w:bCs w:val="1"/>
          <w:i w:val="0"/>
          <w:iCs w:val="0"/>
          <w:smallCaps w:val="0"/>
          <w:strike w:val="0"/>
          <w:color w:val="0f6b5c"/>
          <w:sz w:val="26"/>
          <w:szCs w:val="26"/>
          <w:u w:val="none"/>
          <w:shd w:fill="auto" w:val="clear"/>
          <w:vertAlign w:val="baseline"/>
        </w:rPr>
      </w:pPr>
      <w:r w:rsidDel="00000000" w:rsidR="00000000" w:rsidRPr="00000000">
        <w:rPr>
          <w:rFonts w:ascii="Arial" w:cs="Arial" w:eastAsia="Arial" w:hAnsi="Arial"/>
          <w:b w:val="1"/>
          <w:bCs w:val="1"/>
          <w:i w:val="0"/>
          <w:iCs w:val="0"/>
          <w:smallCaps w:val="0"/>
          <w:strike w:val="0"/>
          <w:color w:val="0f6b5c"/>
          <w:sz w:val="26"/>
          <w:szCs w:val="26"/>
          <w:u w:val="none"/>
          <w:shd w:fill="auto" w:val="clear"/>
          <w:vertAlign w:val="baseline"/>
          <w:rtl w:val="0"/>
        </w:rPr>
        <w:t xml:space="preserve">Is Deep Ketosis Necessary? No. </w:t>
      </w:r>
    </w:p>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6.5802001953125" w:line="289.88402366638184" w:lineRule="auto"/>
        <w:ind w:left="65.20004272460938" w:right="73.80126953125" w:firstLine="9.00001525878906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Deep ketosis is not needed. A ketogenic pilot in Alzheimer's research counted people as adherent above a BHB of just 0.3 mmol/L. A 6-month randomized trial raised brain ketone metabolism by 230% using 30 g/day of MCT oil (medium-chain triglyceride, a fat the liver converts to ketones quickly) with no carbohydrate restriction at all. Treat mild ketosis as an optional, evidence-thin accelerator, never a requirement — the route with the most randomized support is modest MCT oil, discussed with your clinician, not deep sustained ketosis.</w:t>
      </w:r>
    </w:p>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1.6400146484375" w:right="0" w:firstLine="0"/>
        <w:jc w:val="left"/>
        <w:rPr>
          <w:rFonts w:ascii="Arial" w:cs="Arial" w:eastAsia="Arial" w:hAnsi="Arial"/>
          <w:b w:val="1"/>
          <w:bCs w:val="1"/>
          <w:i w:val="0"/>
          <w:iCs w:val="0"/>
          <w:smallCaps w:val="0"/>
          <w:strike w:val="0"/>
          <w:color w:val="0f6b5c"/>
          <w:sz w:val="26"/>
          <w:szCs w:val="26"/>
          <w:u w:val="none"/>
          <w:shd w:fill="auto" w:val="clear"/>
          <w:vertAlign w:val="baseline"/>
        </w:rPr>
      </w:pPr>
      <w:r w:rsidDel="00000000" w:rsidR="00000000" w:rsidRPr="00000000">
        <w:rPr>
          <w:rFonts w:ascii="Arial" w:cs="Arial" w:eastAsia="Arial" w:hAnsi="Arial"/>
          <w:b w:val="1"/>
          <w:bCs w:val="1"/>
          <w:i w:val="0"/>
          <w:iCs w:val="0"/>
          <w:smallCaps w:val="0"/>
          <w:strike w:val="0"/>
          <w:color w:val="0f6b5c"/>
          <w:sz w:val="26"/>
          <w:szCs w:val="26"/>
          <w:u w:val="none"/>
          <w:shd w:fill="auto" w:val="clear"/>
          <w:vertAlign w:val="baseline"/>
          <w:rtl w:val="0"/>
        </w:rPr>
        <w:t xml:space="preserve">The 12-Hour Fast: What Holds Up </w:t>
      </w:r>
    </w:p>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6.57958984375" w:line="276.07998847961426" w:lineRule="auto"/>
        <w:ind w:left="471.3999938964844" w:right="51.8017578125" w:hanging="410.3399658203125"/>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8.333333333333336"/>
          <w:szCs w:val="28.333333333333336"/>
          <w:u w:val="none"/>
          <w:shd w:fill="auto" w:val="clear"/>
          <w:vertAlign w:val="superscript"/>
          <w:rtl w:val="0"/>
        </w:rPr>
        <w:t xml:space="preserve">•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Animal and pilot studies from institutions including the National Institute on Aging show promising cognitive improvements and reduced brain damage in mice using time-restricted feeding </w:t>
      </w:r>
    </w:p>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3.360595703125" w:line="276.07998847961426" w:lineRule="auto"/>
        <w:ind w:left="471.3999938964844" w:right="52.2021484375" w:hanging="410.3399658203125"/>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8.333333333333336"/>
          <w:szCs w:val="28.333333333333336"/>
          <w:u w:val="none"/>
          <w:shd w:fill="auto" w:val="clear"/>
          <w:vertAlign w:val="superscript"/>
          <w:rtl w:val="0"/>
        </w:rPr>
        <w:t xml:space="preserve">•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Preliminary human data suggests time-restricted eating may improve spatial planning and memory, though it has not yet been tested for its effect on sleep in people with Alzheimer's disease </w:t>
      </w:r>
    </w:p>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3.360595703125" w:line="276.07998847961426" w:lineRule="auto"/>
        <w:ind w:left="471.00006103515625" w:right="562.802734375" w:hanging="409.9400329589844"/>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8.333333333333336"/>
          <w:szCs w:val="28.333333333333336"/>
          <w:u w:val="none"/>
          <w:shd w:fill="auto" w:val="clear"/>
          <w:vertAlign w:val="superscript"/>
          <w:rtl w:val="0"/>
        </w:rPr>
        <w:t xml:space="preserve">•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Longer fasts may not be safe for everyone — especially older adults, people with a low BMI, or those managing diabetes with insulin </w:t>
      </w:r>
    </w:p>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3.360595703125" w:line="289.88402366638184" w:lineRule="auto"/>
        <w:ind w:left="65" w:right="38.001708984375" w:hanging="3.7999725341796875"/>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Why "3 hours before bed" matters: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in a randomized crossover study, 20 healthy young adults ate an identical dinner at 6 p.m. or 10 p.m. The late dinner produced higher blood glucose, a delayed triglyceride peak, less burning of dietary fat, and higher cortisol. </w:t>
      </w:r>
    </w:p>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5.030517578125" w:line="289.88402366638184" w:lineRule="auto"/>
        <w:ind w:left="60.800018310546875" w:right="263.004150390625" w:firstLine="1.2000274658203125"/>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Autophagy.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Autophagy is the cell's recycling process, clearing out damaged parts. In Alzheimer's disease, disruption of autophagy contributes to hallmark pathology including amyloid accumulation, tau hyperphosphorylation, and progressive neurodegeneration. Most evidence suggests autophagy begins somewhere between 24 and 48 hours of fasting, though this estimate comes primarily from animal studies — there is no confirmed hour mark in humans. </w:t>
      </w:r>
    </w:p>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5.0299072265625" w:line="289.88402366638184" w:lineRule="auto"/>
        <w:ind w:left="65" w:right="140.80322265625" w:firstLine="8.199996948242188"/>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Benefits and risks.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 12-hour fast is simple, free, and crowds out late-night snacking; mild fasting was described as safe in cognition reviews. But the muscle signal is real: twelve weeks of a stricter 16:8 schedule caused significantly greater loss of appendicular lean mass (the muscle in your arms and legs) than structured meal timing. Never attempt extended or multi-day fasting on your own — ask your clinician about any fast longer than the 12-hour overnight window. </w:t>
      </w:r>
    </w:p>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5.0299072265625" w:line="240" w:lineRule="auto"/>
        <w:ind w:left="63.19999694824219" w:right="0" w:firstLine="0"/>
        <w:jc w:val="left"/>
        <w:rPr>
          <w:rFonts w:ascii="Arial" w:cs="Arial" w:eastAsia="Arial" w:hAnsi="Arial"/>
          <w:b w:val="1"/>
          <w:bCs w:val="1"/>
          <w:i w:val="0"/>
          <w:iCs w:val="0"/>
          <w:smallCaps w:val="0"/>
          <w:strike w:val="0"/>
          <w:color w:val="0f6b5c"/>
          <w:sz w:val="26"/>
          <w:szCs w:val="26"/>
          <w:u w:val="none"/>
          <w:shd w:fill="auto" w:val="clear"/>
          <w:vertAlign w:val="baseline"/>
        </w:rPr>
      </w:pPr>
      <w:r w:rsidDel="00000000" w:rsidR="00000000" w:rsidRPr="00000000">
        <w:rPr>
          <w:rFonts w:ascii="Arial" w:cs="Arial" w:eastAsia="Arial" w:hAnsi="Arial"/>
          <w:b w:val="1"/>
          <w:bCs w:val="1"/>
          <w:i w:val="0"/>
          <w:iCs w:val="0"/>
          <w:smallCaps w:val="0"/>
          <w:strike w:val="0"/>
          <w:color w:val="0f6b5c"/>
          <w:sz w:val="26"/>
          <w:szCs w:val="26"/>
          <w:u w:val="none"/>
          <w:shd w:fill="auto" w:val="clear"/>
          <w:vertAlign w:val="baseline"/>
          <w:rtl w:val="0"/>
        </w:rPr>
        <w:t xml:space="preserve">A Safe 4-Week Transition Ramp </w:t>
      </w:r>
    </w:p>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6.5802001953125" w:line="289.88402366638184" w:lineRule="auto"/>
        <w:ind w:left="65.20004272460938" w:right="40.00244140625" w:hanging="4.4000244140625"/>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This ramp is for someone eating a standard diet now. No macronutrient, calorie, or carbohydrate targets are published for KetoFLEX 12/3, so the steps below are a conservative ramp, not trial numbers. If you take insulin, a sulfonylurea, an SGLT2 inhibitor, or blood-pressure medication, talk to your clinician first.</w:t>
      </w:r>
    </w:p>
    <w:tbl>
      <w:tblPr>
        <w:tblStyle w:val="Table6"/>
        <w:tblW w:w="9791.999740600586" w:type="dxa"/>
        <w:jc w:val="left"/>
        <w:tblInd w:w="72.00004577636719"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19.9999237060547"/>
        <w:gridCol w:w="2160"/>
        <w:gridCol w:w="6911.999816894531"/>
        <w:tblGridChange w:id="0">
          <w:tblGrid>
            <w:gridCol w:w="719.9999237060547"/>
            <w:gridCol w:w="2160"/>
            <w:gridCol w:w="6911.999816894531"/>
          </w:tblGrid>
        </w:tblGridChange>
      </w:tblGrid>
      <w:tr>
        <w:trPr>
          <w:cantSplit w:val="0"/>
          <w:trHeight w:val="367.99987792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i w:val="0"/>
                <w:iCs w:val="0"/>
                <w:smallCaps w:val="0"/>
                <w:strike w:val="0"/>
                <w:sz w:val="16.600000381469727"/>
                <w:szCs w:val="16.600000381469727"/>
                <w:u w:val="none"/>
                <w:shd w:fill="auto" w:val="clear"/>
                <w:vertAlign w:val="baseline"/>
              </w:rPr>
            </w:pPr>
            <w:r w:rsidDel="00000000" w:rsidR="00000000" w:rsidRPr="00000000">
              <w:rPr>
                <w:rFonts w:ascii="Arial" w:cs="Arial" w:eastAsia="Arial" w:hAnsi="Arial"/>
                <w:b w:val="1"/>
                <w:bCs w:val="1"/>
                <w:i w:val="0"/>
                <w:iCs w:val="0"/>
                <w:smallCaps w:val="0"/>
                <w:strike w:val="0"/>
                <w:sz w:val="16.600000381469727"/>
                <w:szCs w:val="16.600000381469727"/>
                <w:u w:val="none"/>
                <w:shd w:fill="auto" w:val="clear"/>
                <w:vertAlign w:val="baseline"/>
                <w:rtl w:val="0"/>
              </w:rPr>
              <w:t xml:space="preserve">Week </w:t>
            </w:r>
          </w:p>
        </w:tc>
        <w:tc>
          <w:tcPr>
            <w:shd w:fill="auto" w:val="clear"/>
            <w:tcMar>
              <w:top w:w="100.0" w:type="dxa"/>
              <w:left w:w="100.0" w:type="dxa"/>
              <w:bottom w:w="100.0" w:type="dxa"/>
              <w:right w:w="100.0" w:type="dxa"/>
            </w:tcMar>
            <w:vAlign w:val="top"/>
          </w:tcPr>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615966796875" w:right="0" w:firstLine="0"/>
              <w:jc w:val="left"/>
              <w:rPr>
                <w:rFonts w:ascii="Arial" w:cs="Arial" w:eastAsia="Arial" w:hAnsi="Arial"/>
                <w:b w:val="1"/>
                <w:bCs w:val="1"/>
                <w:i w:val="0"/>
                <w:iCs w:val="0"/>
                <w:smallCaps w:val="0"/>
                <w:strike w:val="0"/>
                <w:sz w:val="16.600000381469727"/>
                <w:szCs w:val="16.600000381469727"/>
                <w:u w:val="none"/>
                <w:shd w:fill="auto" w:val="clear"/>
                <w:vertAlign w:val="baseline"/>
              </w:rPr>
            </w:pPr>
            <w:r w:rsidDel="00000000" w:rsidR="00000000" w:rsidRPr="00000000">
              <w:rPr>
                <w:rFonts w:ascii="Arial" w:cs="Arial" w:eastAsia="Arial" w:hAnsi="Arial"/>
                <w:b w:val="1"/>
                <w:bCs w:val="1"/>
                <w:i w:val="0"/>
                <w:iCs w:val="0"/>
                <w:smallCaps w:val="0"/>
                <w:strike w:val="0"/>
                <w:sz w:val="16.600000381469727"/>
                <w:szCs w:val="16.600000381469727"/>
                <w:u w:val="none"/>
                <w:shd w:fill="auto" w:val="clear"/>
                <w:vertAlign w:val="baseline"/>
                <w:rtl w:val="0"/>
              </w:rPr>
              <w:t xml:space="preserve">Focus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65594482421875" w:right="0" w:firstLine="0"/>
              <w:jc w:val="left"/>
              <w:rPr>
                <w:rFonts w:ascii="Arial" w:cs="Arial" w:eastAsia="Arial" w:hAnsi="Arial"/>
                <w:b w:val="1"/>
                <w:bCs w:val="1"/>
                <w:i w:val="0"/>
                <w:iCs w:val="0"/>
                <w:smallCaps w:val="0"/>
                <w:strike w:val="0"/>
                <w:sz w:val="16.600000381469727"/>
                <w:szCs w:val="16.600000381469727"/>
                <w:u w:val="none"/>
                <w:shd w:fill="auto" w:val="clear"/>
                <w:vertAlign w:val="baseline"/>
              </w:rPr>
            </w:pPr>
            <w:r w:rsidDel="00000000" w:rsidR="00000000" w:rsidRPr="00000000">
              <w:rPr>
                <w:rFonts w:ascii="Arial" w:cs="Arial" w:eastAsia="Arial" w:hAnsi="Arial"/>
                <w:b w:val="1"/>
                <w:bCs w:val="1"/>
                <w:i w:val="0"/>
                <w:iCs w:val="0"/>
                <w:smallCaps w:val="0"/>
                <w:strike w:val="0"/>
                <w:sz w:val="16.600000381469727"/>
                <w:szCs w:val="16.600000381469727"/>
                <w:u w:val="none"/>
                <w:shd w:fill="auto" w:val="clear"/>
                <w:vertAlign w:val="baseline"/>
                <w:rtl w:val="0"/>
              </w:rPr>
              <w:t xml:space="preserve">What to do</w:t>
            </w:r>
          </w:p>
        </w:tc>
      </w:tr>
      <w:tr>
        <w:trPr>
          <w:cantSplit w:val="0"/>
          <w:trHeight w:val="784.00024414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6.15989685058594"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1 </w:t>
            </w:r>
          </w:p>
        </w:tc>
        <w:tc>
          <w:tcPr>
            <w:shd w:fill="auto" w:val="clear"/>
            <w:tcMar>
              <w:top w:w="100.0" w:type="dxa"/>
              <w:left w:w="100.0" w:type="dxa"/>
              <w:bottom w:w="100.0" w:type="dxa"/>
              <w:right w:w="100.0" w:type="dxa"/>
            </w:tcMar>
            <w:vAlign w:val="top"/>
          </w:tcPr>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23999023437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Timing only </w:t>
            </w:r>
          </w:p>
        </w:tc>
        <w:tc>
          <w:tcPr>
            <w:shd w:fill="auto" w:val="clear"/>
            <w:tcMar>
              <w:top w:w="100.0" w:type="dxa"/>
              <w:left w:w="100.0" w:type="dxa"/>
              <w:bottom w:w="100.0" w:type="dxa"/>
              <w:right w:w="100.0" w:type="dxa"/>
            </w:tcMar>
            <w:vAlign w:val="top"/>
          </w:tcPr>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2.1255397796631" w:lineRule="auto"/>
              <w:ind w:left="111.75994873046875" w:right="90.001220703125" w:firstLine="12.0001220703125"/>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Finish dinner 3+ hours before bed; leave 12 hours before breakfast. Change nothing else about what you eat. Drink water with meals; salt food as usual unless told to restrict sodium. Weigh yourself once and write it down.</w:t>
            </w:r>
          </w:p>
        </w:tc>
      </w:tr>
      <w:tr>
        <w:trPr>
          <w:cantSplit w:val="0"/>
          <w:trHeight w:val="991.9998168945312"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15992736816406"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2 </w:t>
            </w:r>
          </w:p>
        </w:tc>
        <w:tc>
          <w:tcPr>
            <w:shd w:fill="auto" w:val="clear"/>
            <w:tcMar>
              <w:top w:w="100.0" w:type="dxa"/>
              <w:left w:w="100.0" w:type="dxa"/>
              <w:bottom w:w="100.0" w:type="dxa"/>
              <w:right w:w="100.0" w:type="dxa"/>
            </w:tcMar>
            <w:vAlign w:val="top"/>
          </w:tcPr>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23185920715332" w:lineRule="auto"/>
              <w:ind w:left="119.27993774414062" w:right="155.92010498046875" w:hanging="2.239990234375"/>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Crowd in vegetables, fiber, protein</w:t>
            </w:r>
          </w:p>
        </w:tc>
        <w:tc>
          <w:tcPr>
            <w:shd w:fill="auto" w:val="clear"/>
            <w:tcMar>
              <w:top w:w="100.0" w:type="dxa"/>
              <w:left w:w="100.0" w:type="dxa"/>
              <w:bottom w:w="100.0" w:type="dxa"/>
              <w:right w:w="100.0" w:type="dxa"/>
            </w:tcMar>
            <w:vAlign w:val="top"/>
          </w:tcPr>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8.4230899810791" w:lineRule="auto"/>
              <w:ind w:left="112.239990234375" w:right="194.9609375" w:firstLine="9.44000244140625"/>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Make non-starchy vegetables the biggest thing on the plate at two meals daily (asparagus, broccoli, brussels sprouts, cabbage, cucumbers, zucchini). Add leafy greens daily and berries most days. Hit your protein target every meal: protein first, then vegetables, then fat. Raise fiber from vegetables, nuts, seeds, and legumes.</w:t>
            </w:r>
          </w:p>
        </w:tc>
      </w:tr>
      <w:tr>
        <w:trPr>
          <w:cantSplit w:val="0"/>
          <w:trHeight w:val="992.000122070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43998718261719"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3 </w:t>
            </w:r>
          </w:p>
        </w:tc>
        <w:tc>
          <w:tcPr>
            <w:shd w:fill="auto" w:val="clear"/>
            <w:tcMar>
              <w:top w:w="100.0" w:type="dxa"/>
              <w:left w:w="100.0" w:type="dxa"/>
              <w:bottom w:w="100.0" w:type="dxa"/>
              <w:right w:w="100.0" w:type="dxa"/>
            </w:tcMar>
            <w:vAlign w:val="top"/>
          </w:tcPr>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4.08004760742188"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Remove the biggest </w:t>
            </w:r>
          </w:p>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9400634765625" w:line="240" w:lineRule="auto"/>
              <w:ind w:left="115.599975585937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offenders</w:t>
            </w:r>
          </w:p>
        </w:tc>
        <w:tc>
          <w:tcPr>
            <w:shd w:fill="auto" w:val="clear"/>
            <w:tcMar>
              <w:top w:w="100.0" w:type="dxa"/>
              <w:left w:w="100.0" w:type="dxa"/>
              <w:bottom w:w="100.0" w:type="dxa"/>
              <w:right w:w="100.0" w:type="dxa"/>
            </w:tcMar>
            <w:vAlign w:val="top"/>
          </w:tcPr>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8.4230899810791" w:lineRule="auto"/>
              <w:ind w:left="112.239990234375" w:right="114.64111328125" w:firstLine="4.80010986328125"/>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Cut added sugar, sugar-sweetened drinks, refined grains, and packaged snacks. Replace with unprocessed food — this swap has the best data of anything in this guide. Use olive oil, avocado, olives, nuts, and seeds as replacement calories. Watch electrolytes; as carbohydrate falls, headache and fatigue are common.</w:t>
            </w:r>
          </w:p>
        </w:tc>
      </w:tr>
      <w:tr>
        <w:trPr>
          <w:cantSplit w:val="0"/>
          <w:trHeight w:val="783.9999389648438"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3.99986267089844"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4 </w:t>
            </w:r>
          </w:p>
        </w:tc>
        <w:tc>
          <w:tcPr>
            <w:shd w:fill="auto" w:val="clear"/>
            <w:tcMar>
              <w:top w:w="100.0" w:type="dxa"/>
              <w:left w:w="100.0" w:type="dxa"/>
              <w:bottom w:w="100.0" w:type="dxa"/>
              <w:right w:w="100.0" w:type="dxa"/>
            </w:tcMar>
            <w:vAlign w:val="top"/>
          </w:tcPr>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7.83996582031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Settle, don't tighten </w:t>
            </w:r>
          </w:p>
        </w:tc>
        <w:tc>
          <w:tcPr>
            <w:shd w:fill="auto" w:val="clear"/>
            <w:tcMar>
              <w:top w:w="100.0" w:type="dxa"/>
              <w:left w:w="100.0" w:type="dxa"/>
              <w:bottom w:w="100.0" w:type="dxa"/>
              <w:right w:w="100.0" w:type="dxa"/>
            </w:tcMar>
            <w:vAlign w:val="top"/>
          </w:tcPr>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2.12536811828613" w:lineRule="auto"/>
              <w:ind w:left="112.239990234375" w:right="185.68115234375" w:firstLine="10.0799560546875"/>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Hold the pattern. Do not extend the fast past 12 hours or chase ketone readings. Resistance train twice a week — not optional for an older adult cutting carbohydrate. Re-weigh; if you lost weight, eat more food, not less. Book blood work, including lipids.</w:t>
            </w:r>
          </w:p>
        </w:tc>
      </w:tr>
    </w:tbl>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7.760009765625" w:right="0" w:firstLine="0"/>
        <w:jc w:val="left"/>
        <w:rPr>
          <w:rFonts w:ascii="Arial" w:cs="Arial" w:eastAsia="Arial" w:hAnsi="Arial"/>
          <w:b w:val="1"/>
          <w:bCs w:val="1"/>
          <w:i w:val="0"/>
          <w:iCs w:val="0"/>
          <w:smallCaps w:val="0"/>
          <w:strike w:val="0"/>
          <w:color w:val="0f6b5c"/>
          <w:sz w:val="26"/>
          <w:szCs w:val="26"/>
          <w:u w:val="none"/>
          <w:shd w:fill="auto" w:val="clear"/>
          <w:vertAlign w:val="baseline"/>
        </w:rPr>
      </w:pPr>
      <w:r w:rsidDel="00000000" w:rsidR="00000000" w:rsidRPr="00000000">
        <w:rPr>
          <w:rFonts w:ascii="Arial" w:cs="Arial" w:eastAsia="Arial" w:hAnsi="Arial"/>
          <w:b w:val="1"/>
          <w:bCs w:val="1"/>
          <w:i w:val="0"/>
          <w:iCs w:val="0"/>
          <w:smallCaps w:val="0"/>
          <w:strike w:val="0"/>
          <w:color w:val="0f6b5c"/>
          <w:sz w:val="26"/>
          <w:szCs w:val="26"/>
          <w:u w:val="none"/>
          <w:shd w:fill="auto" w:val="clear"/>
          <w:vertAlign w:val="baseline"/>
          <w:rtl w:val="0"/>
        </w:rPr>
        <w:t xml:space="preserve">Protein, Fiber, and Hydration </w:t>
      </w:r>
    </w:p>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6.57958984375" w:line="289.88402366638184" w:lineRule="auto"/>
        <w:ind w:left="65.20004272460938" w:right="51.201171875" w:firstLine="7.9999542236328125"/>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Protein.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Older adults with low skeletal muscle mass are roughly 60% more likely to develop dementia. Bredesen's suggestion is 0.8-1.0 g/kg of lean mass daily under age 65, higher above 65 to counter age-related muscle loss. The 2025-2030 Dietary Guidelines for Americans suggest a broader adult range of 1.2-1.6 g/kg body weight daily — in plain terms, roughly 0.4-0.7 grams per pound. Where you land depends on age, activity, and weight goals. </w:t>
      </w:r>
    </w:p>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5.030517578125" w:line="289.88402366638184" w:lineRule="auto"/>
        <w:ind w:left="59.600067138671875" w:right="38.00048828125" w:firstLine="13.59992980957031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Fiber.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 pattern is explicitly high-fiber. No single confirmed gram target for older adults specifically was found in the sources reviewed; the practical rule is that fiber should rise as refined carbohydrate falls, from vegetables, legumes, nuts, and seeds. </w:t>
      </w:r>
    </w:p>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5.030517578125" w:line="289.88402366638184" w:lineRule="auto"/>
        <w:ind w:left="60.800018310546875" w:right="140.00244140625" w:firstLine="11.399993896484375"/>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Hydration and electrolytes.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Drink to thirst and keep fluids visible during the day. Coffee, tea, or matcha are fine earlier in the day, but caffeine after lunch can disrupt sleep — water or sparkling water are better evening choices. Consider stopping fluids an hour before bed to protect uninterrupted sleep, since sleep quality itself is one of the more important levers in this guide. </w:t>
      </w:r>
    </w:p>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5.030517578125" w:line="289.88402366638184" w:lineRule="auto"/>
        <w:ind w:left="65.20004272460938" w:right="38.001708984375" w:firstLine="12.39997863769531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"Keto flu."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Some people feel unwell in the first weeks of lower-carbohydrate eating — headache, fatigue, GI upset. Pooled data across ketogenic trials show at least one adverse event in roughly 43% of participants, most commonly gastrointestinal. To avoid it: ramp over four weeks, don't chase deep ketosis, keep fluids and salt adequate, keep fiber high, and eat enough food overall. </w:t>
      </w:r>
    </w:p>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5.0299072265625" w:line="240" w:lineRule="auto"/>
        <w:ind w:left="77.760009765625" w:right="0" w:firstLine="0"/>
        <w:jc w:val="left"/>
        <w:rPr>
          <w:rFonts w:ascii="Arial" w:cs="Arial" w:eastAsia="Arial" w:hAnsi="Arial"/>
          <w:b w:val="1"/>
          <w:bCs w:val="1"/>
          <w:i w:val="0"/>
          <w:iCs w:val="0"/>
          <w:smallCaps w:val="0"/>
          <w:strike w:val="0"/>
          <w:color w:val="0f6b5c"/>
          <w:sz w:val="26"/>
          <w:szCs w:val="26"/>
          <w:u w:val="none"/>
          <w:shd w:fill="auto" w:val="clear"/>
          <w:vertAlign w:val="baseline"/>
        </w:rPr>
      </w:pPr>
      <w:r w:rsidDel="00000000" w:rsidR="00000000" w:rsidRPr="00000000">
        <w:rPr>
          <w:rFonts w:ascii="Arial" w:cs="Arial" w:eastAsia="Arial" w:hAnsi="Arial"/>
          <w:b w:val="1"/>
          <w:bCs w:val="1"/>
          <w:i w:val="0"/>
          <w:iCs w:val="0"/>
          <w:smallCaps w:val="0"/>
          <w:strike w:val="0"/>
          <w:color w:val="0f6b5c"/>
          <w:sz w:val="26"/>
          <w:szCs w:val="26"/>
          <w:u w:val="none"/>
          <w:shd w:fill="auto" w:val="clear"/>
          <w:vertAlign w:val="baseline"/>
          <w:rtl w:val="0"/>
        </w:rPr>
        <w:t xml:space="preserve">Food Quality: What Goes on the Plate </w:t>
      </w:r>
    </w:p>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6.5802001953125" w:line="240" w:lineRule="auto"/>
        <w:ind w:left="72.44003295898438" w:right="0" w:firstLine="0"/>
        <w:jc w:val="left"/>
        <w:rPr>
          <w:rFonts w:ascii="Arial" w:cs="Arial" w:eastAsia="Arial" w:hAnsi="Arial"/>
          <w:b w:val="1"/>
          <w:bCs w:val="1"/>
          <w:i w:val="0"/>
          <w:iCs w:val="0"/>
          <w:smallCaps w:val="0"/>
          <w:strike w:val="0"/>
          <w:color w:val="1b3a4b"/>
          <w:sz w:val="19"/>
          <w:szCs w:val="19"/>
          <w:u w:val="none"/>
          <w:shd w:fill="auto" w:val="clear"/>
          <w:vertAlign w:val="baseline"/>
        </w:rPr>
      </w:pPr>
      <w:r w:rsidDel="00000000" w:rsidR="00000000" w:rsidRPr="00000000">
        <w:rPr>
          <w:rFonts w:ascii="Arial" w:cs="Arial" w:eastAsia="Arial" w:hAnsi="Arial"/>
          <w:b w:val="1"/>
          <w:bCs w:val="1"/>
          <w:i w:val="0"/>
          <w:iCs w:val="0"/>
          <w:smallCaps w:val="0"/>
          <w:strike w:val="0"/>
          <w:color w:val="1b3a4b"/>
          <w:sz w:val="19"/>
          <w:szCs w:val="19"/>
          <w:u w:val="none"/>
          <w:shd w:fill="auto" w:val="clear"/>
          <w:vertAlign w:val="baseline"/>
          <w:rtl w:val="0"/>
        </w:rPr>
        <w:t xml:space="preserve">Bottom line: if you do one thing, replace ultra-processed food with real food.</w:t>
      </w:r>
    </w:p>
    <w:tbl>
      <w:tblPr>
        <w:tblStyle w:val="Table7"/>
        <w:tblW w:w="8352.000274658203"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03.999786376953"/>
        <w:gridCol w:w="6048.00048828125"/>
        <w:tblGridChange w:id="0">
          <w:tblGrid>
            <w:gridCol w:w="2303.999786376953"/>
            <w:gridCol w:w="6048.00048828125"/>
          </w:tblGrid>
        </w:tblGridChange>
      </w:tblGrid>
      <w:tr>
        <w:trPr>
          <w:cantSplit w:val="0"/>
          <w:trHeight w:val="368.0004882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615966796875" w:right="0" w:firstLine="0"/>
              <w:jc w:val="left"/>
              <w:rPr>
                <w:rFonts w:ascii="Arial" w:cs="Arial" w:eastAsia="Arial" w:hAnsi="Arial"/>
                <w:b w:val="1"/>
                <w:bCs w:val="1"/>
                <w:i w:val="0"/>
                <w:iCs w:val="0"/>
                <w:smallCaps w:val="0"/>
                <w:strike w:val="0"/>
                <w:sz w:val="16.600000381469727"/>
                <w:szCs w:val="16.600000381469727"/>
                <w:u w:val="none"/>
                <w:shd w:fill="auto" w:val="clear"/>
                <w:vertAlign w:val="baseline"/>
              </w:rPr>
            </w:pPr>
            <w:r w:rsidDel="00000000" w:rsidR="00000000" w:rsidRPr="00000000">
              <w:rPr>
                <w:rFonts w:ascii="Arial" w:cs="Arial" w:eastAsia="Arial" w:hAnsi="Arial"/>
                <w:b w:val="1"/>
                <w:bCs w:val="1"/>
                <w:i w:val="0"/>
                <w:iCs w:val="0"/>
                <w:smallCaps w:val="0"/>
                <w:strike w:val="0"/>
                <w:sz w:val="16.600000381469727"/>
                <w:szCs w:val="16.600000381469727"/>
                <w:u w:val="none"/>
                <w:shd w:fill="auto" w:val="clear"/>
                <w:vertAlign w:val="baseline"/>
                <w:rtl w:val="0"/>
              </w:rPr>
              <w:t xml:space="preserve">Food group </w:t>
            </w:r>
          </w:p>
        </w:tc>
        <w:tc>
          <w:tcPr>
            <w:shd w:fill="auto" w:val="clear"/>
            <w:tcMar>
              <w:top w:w="100.0" w:type="dxa"/>
              <w:left w:w="100.0" w:type="dxa"/>
              <w:bottom w:w="100.0" w:type="dxa"/>
              <w:right w:w="100.0" w:type="dxa"/>
            </w:tcMar>
            <w:vAlign w:val="top"/>
          </w:tcPr>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615966796875" w:right="0" w:firstLine="0"/>
              <w:jc w:val="left"/>
              <w:rPr>
                <w:rFonts w:ascii="Arial" w:cs="Arial" w:eastAsia="Arial" w:hAnsi="Arial"/>
                <w:b w:val="1"/>
                <w:bCs w:val="1"/>
                <w:i w:val="0"/>
                <w:iCs w:val="0"/>
                <w:smallCaps w:val="0"/>
                <w:strike w:val="0"/>
                <w:sz w:val="16.600000381469727"/>
                <w:szCs w:val="16.600000381469727"/>
                <w:u w:val="none"/>
                <w:shd w:fill="auto" w:val="clear"/>
                <w:vertAlign w:val="baseline"/>
              </w:rPr>
            </w:pPr>
            <w:r w:rsidDel="00000000" w:rsidR="00000000" w:rsidRPr="00000000">
              <w:rPr>
                <w:rFonts w:ascii="Arial" w:cs="Arial" w:eastAsia="Arial" w:hAnsi="Arial"/>
                <w:b w:val="1"/>
                <w:bCs w:val="1"/>
                <w:i w:val="0"/>
                <w:iCs w:val="0"/>
                <w:smallCaps w:val="0"/>
                <w:strike w:val="0"/>
                <w:sz w:val="16.600000381469727"/>
                <w:szCs w:val="16.600000381469727"/>
                <w:u w:val="none"/>
                <w:shd w:fill="auto" w:val="clear"/>
                <w:vertAlign w:val="baseline"/>
                <w:rtl w:val="0"/>
              </w:rPr>
              <w:t xml:space="preserve">Evidence </w:t>
            </w:r>
          </w:p>
        </w:tc>
      </w:tr>
      <w:tr>
        <w:trPr>
          <w:cantSplit w:val="0"/>
          <w:trHeight w:val="783.999633789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160034179687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Leafy greens and </w:t>
            </w:r>
          </w:p>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9400634765625" w:line="240" w:lineRule="auto"/>
              <w:ind w:left="120.40000915527344"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non-starchy vegetables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2.1255397796631" w:lineRule="auto"/>
              <w:ind w:left="115.11993408203125" w:right="202.481689453125" w:firstLine="8.9599609375"/>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Roughly half a cup of cooked greens or one cup of raw salad daily was linked to slower cognitive decline in a large observational cohort (Rush Memory and Aging Project)</w:t>
            </w:r>
          </w:p>
        </w:tc>
      </w:tr>
      <w:tr>
        <w:trPr>
          <w:cantSplit w:val="0"/>
          <w:trHeight w:val="576.00036621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7.04002380371094"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Cruciferous and allium </w:t>
            </w:r>
          </w:p>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9400634765625" w:line="240" w:lineRule="auto"/>
              <w:ind w:left="111.27998352050781"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vegetables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23185920715332" w:lineRule="auto"/>
              <w:ind w:left="120.71990966796875" w:right="148.8818359375" w:firstLine="1.1199951171875"/>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Broccoli, cabbage, garlic, and onions carry some of the strongest single-food links in dietary-pattern research</w:t>
            </w:r>
          </w:p>
        </w:tc>
      </w:tr>
      <w:tr>
        <w:trPr>
          <w:cantSplit w:val="0"/>
          <w:trHeight w:val="575.99975585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83998107910156"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Berries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23185920715332" w:lineRule="auto"/>
              <w:ind w:left="115.11993408203125" w:right="602.3211669921875" w:firstLine="6.719970703125"/>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Berries and leafy greens are the two food groups that distinguish MIND-diet scoring from Mediterranean and DASH scoring</w:t>
            </w:r>
          </w:p>
        </w:tc>
      </w:tr>
      <w:tr>
        <w:trPr>
          <w:cantSplit w:val="0"/>
          <w:trHeight w:val="575.99975585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24000549316406"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Olive oil </w:t>
            </w:r>
          </w:p>
        </w:tc>
        <w:tc>
          <w:tcPr>
            <w:shd w:fill="auto" w:val="clear"/>
            <w:tcMar>
              <w:top w:w="100.0" w:type="dxa"/>
              <w:left w:w="100.0" w:type="dxa"/>
              <w:bottom w:w="100.0" w:type="dxa"/>
              <w:right w:w="100.0" w:type="dxa"/>
            </w:tcMar>
            <w:vAlign w:val="top"/>
          </w:tcPr>
          <w:p w:rsidR="00000000" w:rsidDel="00000000" w:rsidP="00000000" w:rsidRDefault="00000000" w:rsidRPr="00000000" w14:paraId="000000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23185920715332" w:lineRule="auto"/>
              <w:ind w:left="120.40008544921875" w:right="415.921630859375" w:hanging="8.16009521484375"/>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The only ingredient in this framework with randomized trial support; linked to a modest cognitive score improvement in PREDIMED-style trials</w:t>
            </w:r>
          </w:p>
        </w:tc>
      </w:tr>
      <w:tr>
        <w:trPr>
          <w:cantSplit w:val="0"/>
          <w:trHeight w:val="576.0000610351562"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160034179687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Nuts and seeds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23220252990723" w:lineRule="auto"/>
              <w:ind w:left="115.11993408203125" w:right="522.0013427734375" w:firstLine="8.64013671875"/>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Part of both Mediterranean and MIND scoring; support healthy fat intake and satiety</w:t>
            </w:r>
          </w:p>
        </w:tc>
      </w:tr>
      <w:tr>
        <w:trPr>
          <w:cantSplit w:val="0"/>
          <w:trHeight w:val="576.0000610351562"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160034179687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Low-mercury fish </w:t>
            </w:r>
          </w:p>
        </w:tc>
        <w:tc>
          <w:tcPr>
            <w:shd w:fill="auto" w:val="clear"/>
            <w:tcMar>
              <w:top w:w="100.0" w:type="dxa"/>
              <w:left w:w="100.0" w:type="dxa"/>
              <w:bottom w:w="100.0" w:type="dxa"/>
              <w:right w:w="100.0" w:type="dxa"/>
            </w:tcMar>
            <w:vAlign w:val="top"/>
          </w:tcPr>
          <w:p w:rsidR="00000000" w:rsidDel="00000000" w:rsidP="00000000" w:rsidRDefault="00000000" w:rsidRPr="00000000" w14:paraId="000000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23220252990723" w:lineRule="auto"/>
              <w:ind w:left="115.11993408203125" w:right="771.6015625" w:firstLine="1.1199951171875"/>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Omega-3-rich fish is part of the base pattern; mercury exposure itself is a separate, unrelated caution for very high-mercury species</w:t>
            </w:r>
          </w:p>
        </w:tc>
      </w:tr>
      <w:tr>
        <w:trPr>
          <w:cantSplit w:val="0"/>
          <w:trHeight w:val="576.0000610351562"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63999938964844"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Ultra-processed food </w:t>
            </w:r>
          </w:p>
        </w:tc>
        <w:tc>
          <w:tcPr>
            <w:shd w:fill="auto" w:val="clear"/>
            <w:tcMar>
              <w:top w:w="100.0" w:type="dxa"/>
              <w:left w:w="100.0" w:type="dxa"/>
              <w:bottom w:w="100.0" w:type="dxa"/>
              <w:right w:w="100.0" w:type="dxa"/>
            </w:tcMar>
            <w:vAlign w:val="top"/>
          </w:tcPr>
          <w:p w:rsidR="00000000" w:rsidDel="00000000" w:rsidP="00000000" w:rsidRDefault="00000000" w:rsidRPr="00000000" w14:paraId="000000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23220252990723" w:lineRule="auto"/>
              <w:ind w:left="112.239990234375" w:right="309.20166015625" w:firstLine="5.5999755859375"/>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Swapping just 10% of ultra-processed food for minimally processed alternatives was linked to notably lower dementia risk in a large biobank study</w:t>
            </w:r>
          </w:p>
        </w:tc>
      </w:tr>
      <w:tr>
        <w:trPr>
          <w:cantSplit w:val="0"/>
          <w:trHeight w:val="367.99987792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3.75999450683594"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Fermented foods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3.760070800781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Emerging interest via the gut-brain axis; no dementia-specific trial confirmed </w:t>
            </w:r>
          </w:p>
        </w:tc>
      </w:tr>
    </w:tbl>
    <w:p w:rsidR="00000000" w:rsidDel="00000000" w:rsidP="00000000" w:rsidRDefault="00000000" w:rsidRPr="00000000" w14:paraId="000000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1.25999450683594" w:right="0" w:firstLine="0"/>
        <w:jc w:val="left"/>
        <w:rPr>
          <w:rFonts w:ascii="Arial" w:cs="Arial" w:eastAsia="Arial" w:hAnsi="Arial"/>
          <w:b w:val="1"/>
          <w:bCs w:val="1"/>
          <w:i w:val="0"/>
          <w:iCs w:val="0"/>
          <w:smallCaps w:val="0"/>
          <w:strike w:val="0"/>
          <w:color w:val="1b3a4b"/>
          <w:sz w:val="34"/>
          <w:szCs w:val="34"/>
          <w:u w:val="none"/>
          <w:shd w:fill="auto" w:val="clear"/>
          <w:vertAlign w:val="baseline"/>
        </w:rPr>
      </w:pPr>
      <w:r w:rsidDel="00000000" w:rsidR="00000000" w:rsidRPr="00000000">
        <w:rPr>
          <w:rFonts w:ascii="Arial" w:cs="Arial" w:eastAsia="Arial" w:hAnsi="Arial"/>
          <w:b w:val="1"/>
          <w:bCs w:val="1"/>
          <w:i w:val="0"/>
          <w:iCs w:val="0"/>
          <w:smallCaps w:val="0"/>
          <w:strike w:val="0"/>
          <w:color w:val="1b3a4b"/>
          <w:sz w:val="34"/>
          <w:szCs w:val="34"/>
          <w:u w:val="none"/>
          <w:shd w:fill="auto" w:val="clear"/>
          <w:vertAlign w:val="baseline"/>
          <w:rtl w:val="0"/>
        </w:rPr>
        <w:t xml:space="preserve">Section 3: The Lifestyle Evidence Map </w:t>
      </w:r>
    </w:p>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3.22021484375" w:line="284.0968608856201" w:lineRule="auto"/>
        <w:ind w:left="73.77006530761719" w:right="177.16552734375" w:hanging="1.3300323486328125"/>
        <w:jc w:val="left"/>
        <w:rPr>
          <w:rFonts w:ascii="Arial" w:cs="Arial" w:eastAsia="Arial" w:hAnsi="Arial"/>
          <w:b w:val="0"/>
          <w:bCs w:val="0"/>
          <w:i w:val="0"/>
          <w:iCs w:val="0"/>
          <w:smallCaps w:val="0"/>
          <w:strike w:val="0"/>
          <w:color w:val="1b3a4b"/>
          <w:sz w:val="19"/>
          <w:szCs w:val="19"/>
          <w:u w:val="none"/>
          <w:shd w:fill="auto" w:val="clear"/>
          <w:vertAlign w:val="baseline"/>
        </w:rPr>
      </w:pPr>
      <w:r w:rsidDel="00000000" w:rsidR="00000000" w:rsidRPr="00000000">
        <w:rPr>
          <w:rFonts w:ascii="Arial" w:cs="Arial" w:eastAsia="Arial" w:hAnsi="Arial"/>
          <w:b w:val="1"/>
          <w:bCs w:val="1"/>
          <w:i w:val="0"/>
          <w:iCs w:val="0"/>
          <w:smallCaps w:val="0"/>
          <w:strike w:val="0"/>
          <w:color w:val="1b3a4b"/>
          <w:sz w:val="19"/>
          <w:szCs w:val="19"/>
          <w:u w:val="none"/>
          <w:shd w:fill="auto" w:val="clear"/>
          <w:vertAlign w:val="baseline"/>
          <w:rtl w:val="0"/>
        </w:rPr>
        <w:t xml:space="preserve">Bottom line: </w:t>
      </w:r>
      <w:r w:rsidDel="00000000" w:rsidR="00000000" w:rsidRPr="00000000">
        <w:rPr>
          <w:rFonts w:ascii="Arial" w:cs="Arial" w:eastAsia="Arial" w:hAnsi="Arial"/>
          <w:b w:val="0"/>
          <w:bCs w:val="0"/>
          <w:i w:val="0"/>
          <w:iCs w:val="0"/>
          <w:smallCaps w:val="0"/>
          <w:strike w:val="0"/>
          <w:color w:val="1b3a4b"/>
          <w:sz w:val="19"/>
          <w:szCs w:val="19"/>
          <w:u w:val="none"/>
          <w:shd w:fill="auto" w:val="clear"/>
          <w:vertAlign w:val="baseline"/>
          <w:rtl w:val="0"/>
        </w:rPr>
        <w:t xml:space="preserve">the biggest expert bodies now agree that a large share of dementia risk is linked to things you can act on. </w:t>
      </w:r>
    </w:p>
    <w:p w:rsidR="00000000" w:rsidDel="00000000" w:rsidP="00000000" w:rsidRDefault="00000000" w:rsidRPr="00000000" w14:paraId="000000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3.360595703125" w:line="240" w:lineRule="auto"/>
        <w:ind w:left="61.6400146484375" w:right="0" w:firstLine="0"/>
        <w:jc w:val="left"/>
        <w:rPr>
          <w:rFonts w:ascii="Arial" w:cs="Arial" w:eastAsia="Arial" w:hAnsi="Arial"/>
          <w:b w:val="1"/>
          <w:bCs w:val="1"/>
          <w:i w:val="0"/>
          <w:iCs w:val="0"/>
          <w:smallCaps w:val="0"/>
          <w:strike w:val="0"/>
          <w:color w:val="0f6b5c"/>
          <w:sz w:val="26"/>
          <w:szCs w:val="26"/>
          <w:u w:val="none"/>
          <w:shd w:fill="auto" w:val="clear"/>
          <w:vertAlign w:val="baseline"/>
        </w:rPr>
      </w:pPr>
      <w:r w:rsidDel="00000000" w:rsidR="00000000" w:rsidRPr="00000000">
        <w:rPr>
          <w:rFonts w:ascii="Arial" w:cs="Arial" w:eastAsia="Arial" w:hAnsi="Arial"/>
          <w:b w:val="1"/>
          <w:bCs w:val="1"/>
          <w:i w:val="0"/>
          <w:iCs w:val="0"/>
          <w:smallCaps w:val="0"/>
          <w:strike w:val="0"/>
          <w:color w:val="0f6b5c"/>
          <w:sz w:val="26"/>
          <w:szCs w:val="26"/>
          <w:u w:val="none"/>
          <w:shd w:fill="auto" w:val="clear"/>
          <w:vertAlign w:val="baseline"/>
          <w:rtl w:val="0"/>
        </w:rPr>
        <w:t xml:space="preserve">The Lancet Commission: 14 Modifiable Risk Factors </w:t>
      </w:r>
    </w:p>
    <w:p w:rsidR="00000000" w:rsidDel="00000000" w:rsidP="00000000" w:rsidRDefault="00000000" w:rsidRPr="00000000" w14:paraId="000000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6.57958984375" w:line="289.88402366638184" w:lineRule="auto"/>
        <w:ind w:left="66.00006103515625" w:right="274.80224609375" w:hanging="5.200042724609375"/>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 2024 Lancet Commission on Dementia Prevention, Intervention and Care identified 14 potentially modifiable risk factors accounting for a weighted population attributable fraction (PAF) of 45.3% of dementia cases worldwide. PAF is a population-level estimate: if a risk factor were completely removed from the whole population, what share of cases might not happen? It assumes the link is causal, which is not fully settled for every factor. </w:t>
      </w:r>
    </w:p>
    <w:tbl>
      <w:tblPr>
        <w:tblStyle w:val="Table8"/>
        <w:tblW w:w="8640.0" w:type="dxa"/>
        <w:jc w:val="left"/>
        <w:tblInd w:w="648.0000305175781"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296.0000610351562"/>
        <w:gridCol w:w="3023.9999389648438"/>
        <w:gridCol w:w="1655.999755859375"/>
        <w:gridCol w:w="2664.000244140625"/>
        <w:tblGridChange w:id="0">
          <w:tblGrid>
            <w:gridCol w:w="1296.0000610351562"/>
            <w:gridCol w:w="3023.9999389648438"/>
            <w:gridCol w:w="1655.999755859375"/>
            <w:gridCol w:w="2664.000244140625"/>
          </w:tblGrid>
        </w:tblGridChange>
      </w:tblGrid>
      <w:tr>
        <w:trPr>
          <w:cantSplit w:val="0"/>
          <w:trHeight w:val="368.0004882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615966796875" w:right="0" w:firstLine="0"/>
              <w:jc w:val="left"/>
              <w:rPr>
                <w:rFonts w:ascii="Arial" w:cs="Arial" w:eastAsia="Arial" w:hAnsi="Arial"/>
                <w:b w:val="1"/>
                <w:bCs w:val="1"/>
                <w:i w:val="0"/>
                <w:iCs w:val="0"/>
                <w:smallCaps w:val="0"/>
                <w:strike w:val="0"/>
                <w:sz w:val="16.600000381469727"/>
                <w:szCs w:val="16.600000381469727"/>
                <w:u w:val="none"/>
                <w:shd w:fill="auto" w:val="clear"/>
                <w:vertAlign w:val="baseline"/>
              </w:rPr>
            </w:pPr>
            <w:r w:rsidDel="00000000" w:rsidR="00000000" w:rsidRPr="00000000">
              <w:rPr>
                <w:rFonts w:ascii="Arial" w:cs="Arial" w:eastAsia="Arial" w:hAnsi="Arial"/>
                <w:b w:val="1"/>
                <w:bCs w:val="1"/>
                <w:i w:val="0"/>
                <w:iCs w:val="0"/>
                <w:smallCaps w:val="0"/>
                <w:strike w:val="0"/>
                <w:sz w:val="16.600000381469727"/>
                <w:szCs w:val="16.600000381469727"/>
                <w:u w:val="none"/>
                <w:shd w:fill="auto" w:val="clear"/>
                <w:vertAlign w:val="baseline"/>
                <w:rtl w:val="0"/>
              </w:rPr>
              <w:t xml:space="preserve">Life stage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615966796875" w:right="0" w:firstLine="0"/>
              <w:jc w:val="left"/>
              <w:rPr>
                <w:rFonts w:ascii="Arial" w:cs="Arial" w:eastAsia="Arial" w:hAnsi="Arial"/>
                <w:b w:val="1"/>
                <w:bCs w:val="1"/>
                <w:i w:val="0"/>
                <w:iCs w:val="0"/>
                <w:smallCaps w:val="0"/>
                <w:strike w:val="0"/>
                <w:sz w:val="16.600000381469727"/>
                <w:szCs w:val="16.600000381469727"/>
                <w:u w:val="none"/>
                <w:shd w:fill="auto" w:val="clear"/>
                <w:vertAlign w:val="baseline"/>
              </w:rPr>
            </w:pPr>
            <w:r w:rsidDel="00000000" w:rsidR="00000000" w:rsidRPr="00000000">
              <w:rPr>
                <w:rFonts w:ascii="Arial" w:cs="Arial" w:eastAsia="Arial" w:hAnsi="Arial"/>
                <w:b w:val="1"/>
                <w:bCs w:val="1"/>
                <w:i w:val="0"/>
                <w:iCs w:val="0"/>
                <w:smallCaps w:val="0"/>
                <w:strike w:val="0"/>
                <w:sz w:val="16.600000381469727"/>
                <w:szCs w:val="16.600000381469727"/>
                <w:u w:val="none"/>
                <w:shd w:fill="auto" w:val="clear"/>
                <w:vertAlign w:val="baseline"/>
                <w:rtl w:val="0"/>
              </w:rPr>
              <w:t xml:space="preserve">Risk factor </w:t>
            </w:r>
          </w:p>
        </w:tc>
        <w:tc>
          <w:tcPr>
            <w:shd w:fill="auto" w:val="clear"/>
            <w:tcMar>
              <w:top w:w="100.0" w:type="dxa"/>
              <w:left w:w="100.0" w:type="dxa"/>
              <w:bottom w:w="100.0" w:type="dxa"/>
              <w:right w:w="100.0" w:type="dxa"/>
            </w:tcMar>
            <w:vAlign w:val="top"/>
          </w:tcPr>
          <w:p w:rsidR="00000000" w:rsidDel="00000000" w:rsidP="00000000" w:rsidRDefault="00000000" w:rsidRPr="00000000" w14:paraId="000000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615966796875" w:right="0" w:firstLine="0"/>
              <w:jc w:val="left"/>
              <w:rPr>
                <w:rFonts w:ascii="Arial" w:cs="Arial" w:eastAsia="Arial" w:hAnsi="Arial"/>
                <w:b w:val="1"/>
                <w:bCs w:val="1"/>
                <w:i w:val="0"/>
                <w:iCs w:val="0"/>
                <w:smallCaps w:val="0"/>
                <w:strike w:val="0"/>
                <w:sz w:val="16.600000381469727"/>
                <w:szCs w:val="16.600000381469727"/>
                <w:u w:val="none"/>
                <w:shd w:fill="auto" w:val="clear"/>
                <w:vertAlign w:val="baseline"/>
              </w:rPr>
            </w:pPr>
            <w:r w:rsidDel="00000000" w:rsidR="00000000" w:rsidRPr="00000000">
              <w:rPr>
                <w:rFonts w:ascii="Arial" w:cs="Arial" w:eastAsia="Arial" w:hAnsi="Arial"/>
                <w:b w:val="1"/>
                <w:bCs w:val="1"/>
                <w:i w:val="0"/>
                <w:iCs w:val="0"/>
                <w:smallCaps w:val="0"/>
                <w:strike w:val="0"/>
                <w:sz w:val="16.600000381469727"/>
                <w:szCs w:val="16.600000381469727"/>
                <w:u w:val="none"/>
                <w:shd w:fill="auto" w:val="clear"/>
                <w:vertAlign w:val="baseline"/>
                <w:rtl w:val="0"/>
              </w:rPr>
              <w:t xml:space="preserve">Relative risk </w:t>
            </w:r>
          </w:p>
        </w:tc>
        <w:tc>
          <w:tcPr>
            <w:shd w:fill="auto" w:val="clear"/>
            <w:tcMar>
              <w:top w:w="100.0" w:type="dxa"/>
              <w:left w:w="100.0" w:type="dxa"/>
              <w:bottom w:w="100.0" w:type="dxa"/>
              <w:right w:w="100.0" w:type="dxa"/>
            </w:tcMar>
            <w:vAlign w:val="top"/>
          </w:tcPr>
          <w:p w:rsidR="00000000" w:rsidDel="00000000" w:rsidP="00000000" w:rsidRDefault="00000000" w:rsidRPr="00000000" w14:paraId="000000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65625" w:right="0" w:firstLine="0"/>
              <w:jc w:val="left"/>
              <w:rPr>
                <w:rFonts w:ascii="Arial" w:cs="Arial" w:eastAsia="Arial" w:hAnsi="Arial"/>
                <w:b w:val="1"/>
                <w:bCs w:val="1"/>
                <w:i w:val="0"/>
                <w:iCs w:val="0"/>
                <w:smallCaps w:val="0"/>
                <w:strike w:val="0"/>
                <w:sz w:val="16.600000381469727"/>
                <w:szCs w:val="16.600000381469727"/>
                <w:u w:val="none"/>
                <w:shd w:fill="auto" w:val="clear"/>
                <w:vertAlign w:val="baseline"/>
              </w:rPr>
            </w:pPr>
            <w:r w:rsidDel="00000000" w:rsidR="00000000" w:rsidRPr="00000000">
              <w:rPr>
                <w:rFonts w:ascii="Arial" w:cs="Arial" w:eastAsia="Arial" w:hAnsi="Arial"/>
                <w:b w:val="1"/>
                <w:bCs w:val="1"/>
                <w:i w:val="0"/>
                <w:iCs w:val="0"/>
                <w:smallCaps w:val="0"/>
                <w:strike w:val="0"/>
                <w:sz w:val="16.600000381469727"/>
                <w:szCs w:val="16.600000381469727"/>
                <w:u w:val="none"/>
                <w:shd w:fill="auto" w:val="clear"/>
                <w:vertAlign w:val="baseline"/>
                <w:rtl w:val="0"/>
              </w:rPr>
              <w:t xml:space="preserve">Weighted PAF</w:t>
            </w:r>
          </w:p>
        </w:tc>
      </w:tr>
      <w:tr>
        <w:trPr>
          <w:cantSplit w:val="0"/>
          <w:trHeight w:val="367.99926757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3.760070800781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Early life </w:t>
            </w:r>
          </w:p>
        </w:tc>
        <w:tc>
          <w:tcPr>
            <w:shd w:fill="auto" w:val="clear"/>
            <w:tcMar>
              <w:top w:w="100.0" w:type="dxa"/>
              <w:left w:w="100.0" w:type="dxa"/>
              <w:bottom w:w="100.0" w:type="dxa"/>
              <w:right w:w="100.0" w:type="dxa"/>
            </w:tcMar>
            <w:vAlign w:val="top"/>
          </w:tcPr>
          <w:p w:rsidR="00000000" w:rsidDel="00000000" w:rsidP="00000000" w:rsidRDefault="00000000" w:rsidRPr="00000000" w14:paraId="000001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160034179687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Less education </w:t>
            </w:r>
          </w:p>
        </w:tc>
        <w:tc>
          <w:tcPr>
            <w:shd w:fill="auto" w:val="clear"/>
            <w:tcMar>
              <w:top w:w="100.0" w:type="dxa"/>
              <w:left w:w="100.0" w:type="dxa"/>
              <w:bottom w:w="100.0" w:type="dxa"/>
              <w:right w:w="100.0" w:type="dxa"/>
            </w:tcMar>
            <w:vAlign w:val="top"/>
          </w:tcPr>
          <w:p w:rsidR="00000000" w:rsidDel="00000000" w:rsidP="00000000" w:rsidRDefault="00000000" w:rsidRPr="00000000" w14:paraId="000001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6.16027832031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1.6 </w:t>
            </w:r>
          </w:p>
        </w:tc>
        <w:tc>
          <w:tcPr>
            <w:shd w:fill="auto" w:val="clear"/>
            <w:tcMar>
              <w:top w:w="100.0" w:type="dxa"/>
              <w:left w:w="100.0" w:type="dxa"/>
              <w:bottom w:w="100.0" w:type="dxa"/>
              <w:right w:w="100.0" w:type="dxa"/>
            </w:tcMar>
            <w:vAlign w:val="top"/>
          </w:tcPr>
          <w:p w:rsidR="00000000" w:rsidDel="00000000" w:rsidP="00000000" w:rsidRDefault="00000000" w:rsidRPr="00000000" w14:paraId="000001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12023925781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5%</w:t>
            </w:r>
          </w:p>
        </w:tc>
      </w:tr>
      <w:tr>
        <w:trPr>
          <w:cantSplit w:val="0"/>
          <w:trHeight w:val="368.0004882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679992675781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Midlife </w:t>
            </w:r>
          </w:p>
        </w:tc>
        <w:tc>
          <w:tcPr>
            <w:shd w:fill="auto" w:val="clear"/>
            <w:tcMar>
              <w:top w:w="100.0" w:type="dxa"/>
              <w:left w:w="100.0" w:type="dxa"/>
              <w:bottom w:w="100.0" w:type="dxa"/>
              <w:right w:w="100.0" w:type="dxa"/>
            </w:tcMar>
            <w:vAlign w:val="top"/>
          </w:tcPr>
          <w:p w:rsidR="00000000" w:rsidDel="00000000" w:rsidP="00000000" w:rsidRDefault="00000000" w:rsidRPr="00000000" w14:paraId="000001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31994628906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Hearing loss </w:t>
            </w:r>
          </w:p>
        </w:tc>
        <w:tc>
          <w:tcPr>
            <w:shd w:fill="auto" w:val="clear"/>
            <w:tcMar>
              <w:top w:w="100.0" w:type="dxa"/>
              <w:left w:w="100.0" w:type="dxa"/>
              <w:bottom w:w="100.0" w:type="dxa"/>
              <w:right w:w="100.0" w:type="dxa"/>
            </w:tcMar>
            <w:vAlign w:val="top"/>
          </w:tcPr>
          <w:p w:rsidR="00000000" w:rsidDel="00000000" w:rsidP="00000000" w:rsidRDefault="00000000" w:rsidRPr="00000000" w14:paraId="000001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6.16027832031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1.4 </w:t>
            </w:r>
          </w:p>
        </w:tc>
        <w:tc>
          <w:tcPr>
            <w:shd w:fill="auto" w:val="clear"/>
            <w:tcMar>
              <w:top w:w="100.0" w:type="dxa"/>
              <w:left w:w="100.0" w:type="dxa"/>
              <w:bottom w:w="100.0" w:type="dxa"/>
              <w:right w:w="100.0" w:type="dxa"/>
            </w:tcMar>
            <w:vAlign w:val="top"/>
          </w:tcPr>
          <w:p w:rsidR="00000000" w:rsidDel="00000000" w:rsidP="00000000" w:rsidRDefault="00000000" w:rsidRPr="00000000" w14:paraId="000001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919799804687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7%</w:t>
            </w:r>
          </w:p>
        </w:tc>
      </w:tr>
      <w:tr>
        <w:trPr>
          <w:cantSplit w:val="0"/>
          <w:trHeight w:val="367.99987792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679992675781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Midlife </w:t>
            </w:r>
          </w:p>
        </w:tc>
        <w:tc>
          <w:tcPr>
            <w:shd w:fill="auto" w:val="clear"/>
            <w:tcMar>
              <w:top w:w="100.0" w:type="dxa"/>
              <w:left w:w="100.0" w:type="dxa"/>
              <w:bottom w:w="100.0" w:type="dxa"/>
              <w:right w:w="100.0" w:type="dxa"/>
            </w:tcMar>
            <w:vAlign w:val="top"/>
          </w:tcPr>
          <w:p w:rsidR="00000000" w:rsidDel="00000000" w:rsidP="00000000" w:rsidRDefault="00000000" w:rsidRPr="00000000" w14:paraId="000001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31994628906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High LDL cholesterol </w:t>
            </w:r>
          </w:p>
        </w:tc>
        <w:tc>
          <w:tcPr>
            <w:shd w:fill="auto" w:val="clear"/>
            <w:tcMar>
              <w:top w:w="100.0" w:type="dxa"/>
              <w:left w:w="100.0" w:type="dxa"/>
              <w:bottom w:w="100.0" w:type="dxa"/>
              <w:right w:w="100.0" w:type="dxa"/>
            </w:tcMar>
            <w:vAlign w:val="top"/>
          </w:tcPr>
          <w:p w:rsidR="00000000" w:rsidDel="00000000" w:rsidP="00000000" w:rsidRDefault="00000000" w:rsidRPr="00000000" w14:paraId="000001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6.16027832031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1.3 </w:t>
            </w:r>
          </w:p>
        </w:tc>
        <w:tc>
          <w:tcPr>
            <w:shd w:fill="auto" w:val="clear"/>
            <w:tcMar>
              <w:top w:w="100.0" w:type="dxa"/>
              <w:left w:w="100.0" w:type="dxa"/>
              <w:bottom w:w="100.0" w:type="dxa"/>
              <w:right w:w="100.0" w:type="dxa"/>
            </w:tcMar>
            <w:vAlign w:val="top"/>
          </w:tcPr>
          <w:p w:rsidR="00000000" w:rsidDel="00000000" w:rsidP="00000000" w:rsidRDefault="00000000" w:rsidRPr="00000000" w14:paraId="000001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919799804687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7%</w:t>
            </w:r>
          </w:p>
        </w:tc>
      </w:tr>
      <w:tr>
        <w:trPr>
          <w:cantSplit w:val="0"/>
          <w:trHeight w:val="367.99987792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679992675781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Midlife </w:t>
            </w:r>
          </w:p>
        </w:tc>
        <w:tc>
          <w:tcPr>
            <w:shd w:fill="auto" w:val="clear"/>
            <w:tcMar>
              <w:top w:w="100.0" w:type="dxa"/>
              <w:left w:w="100.0" w:type="dxa"/>
              <w:bottom w:w="100.0" w:type="dxa"/>
              <w:right w:w="100.0" w:type="dxa"/>
            </w:tcMar>
            <w:vAlign w:val="top"/>
          </w:tcPr>
          <w:p w:rsidR="00000000" w:rsidDel="00000000" w:rsidP="00000000" w:rsidRDefault="00000000" w:rsidRPr="00000000" w14:paraId="000001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9598999023437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Depression </w:t>
            </w:r>
          </w:p>
        </w:tc>
        <w:tc>
          <w:tcPr>
            <w:shd w:fill="auto" w:val="clear"/>
            <w:tcMar>
              <w:top w:w="100.0" w:type="dxa"/>
              <w:left w:w="100.0" w:type="dxa"/>
              <w:bottom w:w="100.0" w:type="dxa"/>
              <w:right w:w="100.0" w:type="dxa"/>
            </w:tcMar>
            <w:vAlign w:val="top"/>
          </w:tcPr>
          <w:p w:rsidR="00000000" w:rsidDel="00000000" w:rsidP="00000000" w:rsidRDefault="00000000" w:rsidRPr="00000000" w14:paraId="000001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160156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2.2 </w:t>
            </w:r>
          </w:p>
        </w:tc>
        <w:tc>
          <w:tcPr>
            <w:shd w:fill="auto" w:val="clear"/>
            <w:tcMar>
              <w:top w:w="100.0" w:type="dxa"/>
              <w:left w:w="100.0" w:type="dxa"/>
              <w:bottom w:w="100.0" w:type="dxa"/>
              <w:right w:w="100.0" w:type="dxa"/>
            </w:tcMar>
            <w:vAlign w:val="top"/>
          </w:tcPr>
          <w:p w:rsidR="00000000" w:rsidDel="00000000" w:rsidP="00000000" w:rsidRDefault="00000000" w:rsidRPr="00000000" w14:paraId="000001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44006347656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3%</w:t>
            </w:r>
          </w:p>
        </w:tc>
      </w:tr>
      <w:tr>
        <w:trPr>
          <w:cantSplit w:val="0"/>
          <w:trHeight w:val="367.99987792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679992675781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Midlife </w:t>
            </w:r>
          </w:p>
        </w:tc>
        <w:tc>
          <w:tcPr>
            <w:shd w:fill="auto" w:val="clear"/>
            <w:tcMar>
              <w:top w:w="100.0" w:type="dxa"/>
              <w:left w:w="100.0" w:type="dxa"/>
              <w:bottom w:w="100.0" w:type="dxa"/>
              <w:right w:w="100.0" w:type="dxa"/>
            </w:tcMar>
            <w:vAlign w:val="top"/>
          </w:tcPr>
          <w:p w:rsidR="00000000" w:rsidDel="00000000" w:rsidP="00000000" w:rsidRDefault="00000000" w:rsidRPr="00000000" w14:paraId="000001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23999023437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Traumatic brain injury </w:t>
            </w:r>
          </w:p>
        </w:tc>
        <w:tc>
          <w:tcPr>
            <w:shd w:fill="auto" w:val="clear"/>
            <w:tcMar>
              <w:top w:w="100.0" w:type="dxa"/>
              <w:left w:w="100.0" w:type="dxa"/>
              <w:bottom w:w="100.0" w:type="dxa"/>
              <w:right w:w="100.0" w:type="dxa"/>
            </w:tcMar>
            <w:vAlign w:val="top"/>
          </w:tcPr>
          <w:p w:rsidR="00000000" w:rsidDel="00000000" w:rsidP="00000000" w:rsidRDefault="00000000" w:rsidRPr="00000000" w14:paraId="000001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6.16027832031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1.7 </w:t>
            </w:r>
          </w:p>
        </w:tc>
        <w:tc>
          <w:tcPr>
            <w:shd w:fill="auto" w:val="clear"/>
            <w:tcMar>
              <w:top w:w="100.0" w:type="dxa"/>
              <w:left w:w="100.0" w:type="dxa"/>
              <w:bottom w:w="100.0" w:type="dxa"/>
              <w:right w:w="100.0" w:type="dxa"/>
            </w:tcMar>
            <w:vAlign w:val="top"/>
          </w:tcPr>
          <w:p w:rsidR="00000000" w:rsidDel="00000000" w:rsidP="00000000" w:rsidRDefault="00000000" w:rsidRPr="00000000" w14:paraId="000001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44006347656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3%</w:t>
            </w:r>
          </w:p>
        </w:tc>
      </w:tr>
      <w:tr>
        <w:trPr>
          <w:cantSplit w:val="0"/>
          <w:trHeight w:val="367.99987792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679992675781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Midlife </w:t>
            </w:r>
          </w:p>
        </w:tc>
        <w:tc>
          <w:tcPr>
            <w:shd w:fill="auto" w:val="clear"/>
            <w:tcMar>
              <w:top w:w="100.0" w:type="dxa"/>
              <w:left w:w="100.0" w:type="dxa"/>
              <w:bottom w:w="100.0" w:type="dxa"/>
              <w:right w:w="100.0" w:type="dxa"/>
            </w:tcMar>
            <w:vAlign w:val="top"/>
          </w:tcPr>
          <w:p w:rsidR="00000000" w:rsidDel="00000000" w:rsidP="00000000" w:rsidRDefault="00000000" w:rsidRPr="00000000" w14:paraId="000001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3.760070800781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Physical inactivity </w:t>
            </w:r>
          </w:p>
        </w:tc>
        <w:tc>
          <w:tcPr>
            <w:shd w:fill="auto" w:val="clear"/>
            <w:tcMar>
              <w:top w:w="100.0" w:type="dxa"/>
              <w:left w:w="100.0" w:type="dxa"/>
              <w:bottom w:w="100.0" w:type="dxa"/>
              <w:right w:w="100.0" w:type="dxa"/>
            </w:tcMar>
            <w:vAlign w:val="top"/>
          </w:tcPr>
          <w:p w:rsidR="00000000" w:rsidDel="00000000" w:rsidP="00000000" w:rsidRDefault="00000000" w:rsidRPr="00000000" w14:paraId="000001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6.16027832031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1.2 </w:t>
            </w:r>
          </w:p>
        </w:tc>
        <w:tc>
          <w:tcPr>
            <w:shd w:fill="auto" w:val="clear"/>
            <w:tcMar>
              <w:top w:w="100.0" w:type="dxa"/>
              <w:left w:w="100.0" w:type="dxa"/>
              <w:bottom w:w="100.0" w:type="dxa"/>
              <w:right w:w="100.0" w:type="dxa"/>
            </w:tcMar>
            <w:vAlign w:val="top"/>
          </w:tcPr>
          <w:p w:rsidR="00000000" w:rsidDel="00000000" w:rsidP="00000000" w:rsidRDefault="00000000" w:rsidRPr="00000000" w14:paraId="000001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160156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2%</w:t>
            </w:r>
          </w:p>
        </w:tc>
      </w:tr>
      <w:tr>
        <w:trPr>
          <w:cantSplit w:val="0"/>
          <w:trHeight w:val="368.0004882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679992675781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Midlife </w:t>
            </w:r>
          </w:p>
        </w:tc>
        <w:tc>
          <w:tcPr>
            <w:shd w:fill="auto" w:val="clear"/>
            <w:tcMar>
              <w:top w:w="100.0" w:type="dxa"/>
              <w:left w:w="100.0" w:type="dxa"/>
              <w:bottom w:w="100.0" w:type="dxa"/>
              <w:right w:w="100.0" w:type="dxa"/>
            </w:tcMar>
            <w:vAlign w:val="top"/>
          </w:tcPr>
          <w:p w:rsidR="00000000" w:rsidDel="00000000" w:rsidP="00000000" w:rsidRDefault="00000000" w:rsidRPr="00000000" w14:paraId="000001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7.83996582031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Smoking </w:t>
            </w:r>
          </w:p>
        </w:tc>
        <w:tc>
          <w:tcPr>
            <w:shd w:fill="auto" w:val="clear"/>
            <w:tcMar>
              <w:top w:w="100.0" w:type="dxa"/>
              <w:left w:w="100.0" w:type="dxa"/>
              <w:bottom w:w="100.0" w:type="dxa"/>
              <w:right w:w="100.0" w:type="dxa"/>
            </w:tcMar>
            <w:vAlign w:val="top"/>
          </w:tcPr>
          <w:p w:rsidR="00000000" w:rsidDel="00000000" w:rsidP="00000000" w:rsidRDefault="00000000" w:rsidRPr="00000000" w14:paraId="000001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6.16027832031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1.3 </w:t>
            </w:r>
          </w:p>
        </w:tc>
        <w:tc>
          <w:tcPr>
            <w:shd w:fill="auto" w:val="clear"/>
            <w:tcMar>
              <w:top w:w="100.0" w:type="dxa"/>
              <w:left w:w="100.0" w:type="dxa"/>
              <w:bottom w:w="100.0" w:type="dxa"/>
              <w:right w:w="100.0" w:type="dxa"/>
            </w:tcMar>
            <w:vAlign w:val="top"/>
          </w:tcPr>
          <w:p w:rsidR="00000000" w:rsidDel="00000000" w:rsidP="00000000" w:rsidRDefault="00000000" w:rsidRPr="00000000" w14:paraId="000001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160156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2%</w:t>
            </w:r>
          </w:p>
        </w:tc>
      </w:tr>
      <w:tr>
        <w:trPr>
          <w:cantSplit w:val="0"/>
          <w:trHeight w:val="367.99987792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679992675781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Midlife </w:t>
            </w:r>
          </w:p>
        </w:tc>
        <w:tc>
          <w:tcPr>
            <w:shd w:fill="auto" w:val="clear"/>
            <w:tcMar>
              <w:top w:w="100.0" w:type="dxa"/>
              <w:left w:w="100.0" w:type="dxa"/>
              <w:bottom w:w="100.0" w:type="dxa"/>
              <w:right w:w="100.0" w:type="dxa"/>
            </w:tcMar>
            <w:vAlign w:val="top"/>
          </w:tcPr>
          <w:p w:rsidR="00000000" w:rsidDel="00000000" w:rsidP="00000000" w:rsidRDefault="00000000" w:rsidRPr="00000000" w14:paraId="000001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9598999023437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Diabetes </w:t>
            </w:r>
          </w:p>
        </w:tc>
        <w:tc>
          <w:tcPr>
            <w:shd w:fill="auto" w:val="clear"/>
            <w:tcMar>
              <w:top w:w="100.0" w:type="dxa"/>
              <w:left w:w="100.0" w:type="dxa"/>
              <w:bottom w:w="100.0" w:type="dxa"/>
              <w:right w:w="100.0" w:type="dxa"/>
            </w:tcMar>
            <w:vAlign w:val="top"/>
          </w:tcPr>
          <w:p w:rsidR="00000000" w:rsidDel="00000000" w:rsidP="00000000" w:rsidRDefault="00000000" w:rsidRPr="00000000" w14:paraId="000001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6.16027832031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1.7 </w:t>
            </w:r>
          </w:p>
        </w:tc>
        <w:tc>
          <w:tcPr>
            <w:shd w:fill="auto" w:val="clear"/>
            <w:tcMar>
              <w:top w:w="100.0" w:type="dxa"/>
              <w:left w:w="100.0" w:type="dxa"/>
              <w:bottom w:w="100.0" w:type="dxa"/>
              <w:right w:w="100.0" w:type="dxa"/>
            </w:tcMar>
            <w:vAlign w:val="top"/>
          </w:tcPr>
          <w:p w:rsidR="00000000" w:rsidDel="00000000" w:rsidP="00000000" w:rsidRDefault="00000000" w:rsidRPr="00000000" w14:paraId="000001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160156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2%</w:t>
            </w:r>
          </w:p>
        </w:tc>
      </w:tr>
      <w:tr>
        <w:trPr>
          <w:cantSplit w:val="0"/>
          <w:trHeight w:val="367.99987792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679992675781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Midlife </w:t>
            </w:r>
          </w:p>
        </w:tc>
        <w:tc>
          <w:tcPr>
            <w:shd w:fill="auto" w:val="clear"/>
            <w:tcMar>
              <w:top w:w="100.0" w:type="dxa"/>
              <w:left w:w="100.0" w:type="dxa"/>
              <w:bottom w:w="100.0" w:type="dxa"/>
              <w:right w:w="100.0" w:type="dxa"/>
            </w:tcMar>
            <w:vAlign w:val="top"/>
          </w:tcPr>
          <w:p w:rsidR="00000000" w:rsidDel="00000000" w:rsidP="00000000" w:rsidRDefault="00000000" w:rsidRPr="00000000" w14:paraId="000001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31994628906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Hypertension </w:t>
            </w:r>
          </w:p>
        </w:tc>
        <w:tc>
          <w:tcPr>
            <w:shd w:fill="auto" w:val="clear"/>
            <w:tcMar>
              <w:top w:w="100.0" w:type="dxa"/>
              <w:left w:w="100.0" w:type="dxa"/>
              <w:bottom w:w="100.0" w:type="dxa"/>
              <w:right w:w="100.0" w:type="dxa"/>
            </w:tcMar>
            <w:vAlign w:val="top"/>
          </w:tcPr>
          <w:p w:rsidR="00000000" w:rsidDel="00000000" w:rsidP="00000000" w:rsidRDefault="00000000" w:rsidRPr="00000000" w14:paraId="000001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6.16027832031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1.2 </w:t>
            </w:r>
          </w:p>
        </w:tc>
        <w:tc>
          <w:tcPr>
            <w:shd w:fill="auto" w:val="clear"/>
            <w:tcMar>
              <w:top w:w="100.0" w:type="dxa"/>
              <w:left w:w="100.0" w:type="dxa"/>
              <w:bottom w:w="100.0" w:type="dxa"/>
              <w:right w:w="100.0" w:type="dxa"/>
            </w:tcMar>
            <w:vAlign w:val="top"/>
          </w:tcPr>
          <w:p w:rsidR="00000000" w:rsidDel="00000000" w:rsidP="00000000" w:rsidRDefault="00000000" w:rsidRPr="00000000" w14:paraId="000001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160156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2%</w:t>
            </w:r>
          </w:p>
        </w:tc>
      </w:tr>
      <w:tr>
        <w:trPr>
          <w:cantSplit w:val="0"/>
          <w:trHeight w:val="367.99987792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679992675781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Midlife </w:t>
            </w:r>
          </w:p>
        </w:tc>
        <w:tc>
          <w:tcPr>
            <w:shd w:fill="auto" w:val="clear"/>
            <w:tcMar>
              <w:top w:w="100.0" w:type="dxa"/>
              <w:left w:w="100.0" w:type="dxa"/>
              <w:bottom w:w="100.0" w:type="dxa"/>
              <w:right w:w="100.0" w:type="dxa"/>
            </w:tcMar>
            <w:vAlign w:val="top"/>
          </w:tcPr>
          <w:p w:rsidR="00000000" w:rsidDel="00000000" w:rsidP="00000000" w:rsidRDefault="00000000" w:rsidRPr="00000000" w14:paraId="000001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2399291992187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Obesity </w:t>
            </w:r>
          </w:p>
        </w:tc>
        <w:tc>
          <w:tcPr>
            <w:shd w:fill="auto" w:val="clear"/>
            <w:tcMar>
              <w:top w:w="100.0" w:type="dxa"/>
              <w:left w:w="100.0" w:type="dxa"/>
              <w:bottom w:w="100.0" w:type="dxa"/>
              <w:right w:w="100.0" w:type="dxa"/>
            </w:tcMar>
            <w:vAlign w:val="top"/>
          </w:tcPr>
          <w:p w:rsidR="00000000" w:rsidDel="00000000" w:rsidP="00000000" w:rsidRDefault="00000000" w:rsidRPr="00000000" w14:paraId="000001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6.16027832031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1.3 </w:t>
            </w:r>
          </w:p>
        </w:tc>
        <w:tc>
          <w:tcPr>
            <w:shd w:fill="auto" w:val="clear"/>
            <w:tcMar>
              <w:top w:w="100.0" w:type="dxa"/>
              <w:left w:w="100.0" w:type="dxa"/>
              <w:bottom w:w="100.0" w:type="dxa"/>
              <w:right w:w="100.0" w:type="dxa"/>
            </w:tcMar>
            <w:vAlign w:val="top"/>
          </w:tcPr>
          <w:p w:rsidR="00000000" w:rsidDel="00000000" w:rsidP="00000000" w:rsidRDefault="00000000" w:rsidRPr="00000000" w14:paraId="000001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6.16027832031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1%</w:t>
            </w:r>
          </w:p>
        </w:tc>
      </w:tr>
      <w:tr>
        <w:trPr>
          <w:cantSplit w:val="0"/>
          <w:trHeight w:val="367.99987792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679992675781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Midlife </w:t>
            </w:r>
          </w:p>
        </w:tc>
        <w:tc>
          <w:tcPr>
            <w:shd w:fill="auto" w:val="clear"/>
            <w:tcMar>
              <w:top w:w="100.0" w:type="dxa"/>
              <w:left w:w="100.0" w:type="dxa"/>
              <w:bottom w:w="100.0" w:type="dxa"/>
              <w:right w:w="100.0" w:type="dxa"/>
            </w:tcMar>
            <w:vAlign w:val="top"/>
          </w:tcPr>
          <w:p w:rsidR="00000000" w:rsidDel="00000000" w:rsidP="00000000" w:rsidRDefault="00000000" w:rsidRPr="00000000" w14:paraId="000001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3.760070800781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Excessive alcohol </w:t>
            </w:r>
          </w:p>
        </w:tc>
        <w:tc>
          <w:tcPr>
            <w:shd w:fill="auto" w:val="clear"/>
            <w:tcMar>
              <w:top w:w="100.0" w:type="dxa"/>
              <w:left w:w="100.0" w:type="dxa"/>
              <w:bottom w:w="100.0" w:type="dxa"/>
              <w:right w:w="100.0" w:type="dxa"/>
            </w:tcMar>
            <w:vAlign w:val="top"/>
          </w:tcPr>
          <w:p w:rsidR="00000000" w:rsidDel="00000000" w:rsidP="00000000" w:rsidRDefault="00000000" w:rsidRPr="00000000" w14:paraId="000001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6.16027832031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1.2 </w:t>
            </w:r>
          </w:p>
        </w:tc>
        <w:tc>
          <w:tcPr>
            <w:shd w:fill="auto" w:val="clear"/>
            <w:tcMar>
              <w:top w:w="100.0" w:type="dxa"/>
              <w:left w:w="100.0" w:type="dxa"/>
              <w:bottom w:w="100.0" w:type="dxa"/>
              <w:right w:w="100.0" w:type="dxa"/>
            </w:tcMar>
            <w:vAlign w:val="top"/>
          </w:tcPr>
          <w:p w:rsidR="00000000" w:rsidDel="00000000" w:rsidP="00000000" w:rsidRDefault="00000000" w:rsidRPr="00000000" w14:paraId="000001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6.16027832031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1%</w:t>
            </w:r>
          </w:p>
        </w:tc>
      </w:tr>
      <w:tr>
        <w:trPr>
          <w:cantSplit w:val="0"/>
          <w:trHeight w:val="368.0004882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160034179687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Late life </w:t>
            </w:r>
          </w:p>
        </w:tc>
        <w:tc>
          <w:tcPr>
            <w:shd w:fill="auto" w:val="clear"/>
            <w:tcMar>
              <w:top w:w="100.0" w:type="dxa"/>
              <w:left w:w="100.0" w:type="dxa"/>
              <w:bottom w:w="100.0" w:type="dxa"/>
              <w:right w:w="100.0" w:type="dxa"/>
            </w:tcMar>
            <w:vAlign w:val="top"/>
          </w:tcPr>
          <w:p w:rsidR="00000000" w:rsidDel="00000000" w:rsidP="00000000" w:rsidRDefault="00000000" w:rsidRPr="00000000" w14:paraId="000001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7.83996582031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Social isolation </w:t>
            </w:r>
          </w:p>
        </w:tc>
        <w:tc>
          <w:tcPr>
            <w:shd w:fill="auto" w:val="clear"/>
            <w:tcMar>
              <w:top w:w="100.0" w:type="dxa"/>
              <w:left w:w="100.0" w:type="dxa"/>
              <w:bottom w:w="100.0" w:type="dxa"/>
              <w:right w:w="100.0" w:type="dxa"/>
            </w:tcMar>
            <w:vAlign w:val="top"/>
          </w:tcPr>
          <w:p w:rsidR="00000000" w:rsidDel="00000000" w:rsidP="00000000" w:rsidRDefault="00000000" w:rsidRPr="00000000" w14:paraId="000001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6.16027832031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1.6 </w:t>
            </w:r>
          </w:p>
        </w:tc>
        <w:tc>
          <w:tcPr>
            <w:shd w:fill="auto" w:val="clear"/>
            <w:tcMar>
              <w:top w:w="100.0" w:type="dxa"/>
              <w:left w:w="100.0" w:type="dxa"/>
              <w:bottom w:w="100.0" w:type="dxa"/>
              <w:right w:w="100.0" w:type="dxa"/>
            </w:tcMar>
            <w:vAlign w:val="top"/>
          </w:tcPr>
          <w:p w:rsidR="00000000" w:rsidDel="00000000" w:rsidP="00000000" w:rsidRDefault="00000000" w:rsidRPr="00000000" w14:paraId="000001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12023925781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5%</w:t>
            </w:r>
          </w:p>
        </w:tc>
      </w:tr>
      <w:tr>
        <w:trPr>
          <w:cantSplit w:val="0"/>
          <w:trHeight w:val="367.99987792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160034179687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Late life </w:t>
            </w:r>
          </w:p>
        </w:tc>
        <w:tc>
          <w:tcPr>
            <w:shd w:fill="auto" w:val="clear"/>
            <w:tcMar>
              <w:top w:w="100.0" w:type="dxa"/>
              <w:left w:w="100.0" w:type="dxa"/>
              <w:bottom w:w="100.0" w:type="dxa"/>
              <w:right w:w="100.0" w:type="dxa"/>
            </w:tcMar>
            <w:vAlign w:val="top"/>
          </w:tcPr>
          <w:p w:rsidR="00000000" w:rsidDel="00000000" w:rsidP="00000000" w:rsidRDefault="00000000" w:rsidRPr="00000000" w14:paraId="000001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23999023437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Air pollution </w:t>
            </w:r>
          </w:p>
        </w:tc>
        <w:tc>
          <w:tcPr>
            <w:shd w:fill="auto" w:val="clear"/>
            <w:tcMar>
              <w:top w:w="100.0" w:type="dxa"/>
              <w:left w:w="100.0" w:type="dxa"/>
              <w:bottom w:w="100.0" w:type="dxa"/>
              <w:right w:w="100.0" w:type="dxa"/>
            </w:tcMar>
            <w:vAlign w:val="top"/>
          </w:tcPr>
          <w:p w:rsidR="00000000" w:rsidDel="00000000" w:rsidP="00000000" w:rsidRDefault="00000000" w:rsidRPr="00000000" w14:paraId="000001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6.16027832031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1.1 </w:t>
            </w:r>
          </w:p>
        </w:tc>
        <w:tc>
          <w:tcPr>
            <w:shd w:fill="auto" w:val="clear"/>
            <w:tcMar>
              <w:top w:w="100.0" w:type="dxa"/>
              <w:left w:w="100.0" w:type="dxa"/>
              <w:bottom w:w="100.0" w:type="dxa"/>
              <w:right w:w="100.0" w:type="dxa"/>
            </w:tcMar>
            <w:vAlign w:val="top"/>
          </w:tcPr>
          <w:p w:rsidR="00000000" w:rsidDel="00000000" w:rsidP="00000000" w:rsidRDefault="00000000" w:rsidRPr="00000000" w14:paraId="000001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44006347656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3%</w:t>
            </w:r>
          </w:p>
        </w:tc>
      </w:tr>
      <w:tr>
        <w:trPr>
          <w:cantSplit w:val="0"/>
          <w:trHeight w:val="367.99987792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160034179687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Late life </w:t>
            </w:r>
          </w:p>
        </w:tc>
        <w:tc>
          <w:tcPr>
            <w:shd w:fill="auto" w:val="clear"/>
            <w:tcMar>
              <w:top w:w="100.0" w:type="dxa"/>
              <w:left w:w="100.0" w:type="dxa"/>
              <w:bottom w:w="100.0" w:type="dxa"/>
              <w:right w:w="100.0" w:type="dxa"/>
            </w:tcMar>
            <w:vAlign w:val="top"/>
          </w:tcPr>
          <w:p w:rsidR="00000000" w:rsidDel="00000000" w:rsidP="00000000" w:rsidRDefault="00000000" w:rsidRPr="00000000" w14:paraId="000001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6400756835937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Untreated vision loss </w:t>
            </w:r>
          </w:p>
        </w:tc>
        <w:tc>
          <w:tcPr>
            <w:shd w:fill="auto" w:val="clear"/>
            <w:tcMar>
              <w:top w:w="100.0" w:type="dxa"/>
              <w:left w:w="100.0" w:type="dxa"/>
              <w:bottom w:w="100.0" w:type="dxa"/>
              <w:right w:w="100.0" w:type="dxa"/>
            </w:tcMar>
            <w:vAlign w:val="top"/>
          </w:tcPr>
          <w:p w:rsidR="00000000" w:rsidDel="00000000" w:rsidP="00000000" w:rsidRDefault="00000000" w:rsidRPr="00000000" w14:paraId="000001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6.16027832031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1.5 </w:t>
            </w:r>
          </w:p>
        </w:tc>
        <w:tc>
          <w:tcPr>
            <w:shd w:fill="auto" w:val="clear"/>
            <w:tcMar>
              <w:top w:w="100.0" w:type="dxa"/>
              <w:left w:w="100.0" w:type="dxa"/>
              <w:bottom w:w="100.0" w:type="dxa"/>
              <w:right w:w="100.0" w:type="dxa"/>
            </w:tcMar>
            <w:vAlign w:val="top"/>
          </w:tcPr>
          <w:p w:rsidR="00000000" w:rsidDel="00000000" w:rsidP="00000000" w:rsidRDefault="00000000" w:rsidRPr="00000000" w14:paraId="000001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160156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2%</w:t>
            </w:r>
          </w:p>
        </w:tc>
      </w:tr>
    </w:tbl>
    <w:p w:rsidR="00000000" w:rsidDel="00000000" w:rsidP="00000000" w:rsidRDefault="00000000" w:rsidRPr="00000000" w14:paraId="000001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9.88402366638184" w:lineRule="auto"/>
        <w:ind w:left="65.20004272460938" w:right="184.801025390625" w:hanging="4.4000244140625"/>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Two honest notes: the relative risks are mostly small — 1.2 means about a 20% higher rate, not a doubling — and every row rests on observational data, which can be shifted by confounding and reverse causation. </w:t>
      </w:r>
    </w:p>
    <w:p w:rsidR="00000000" w:rsidDel="00000000" w:rsidP="00000000" w:rsidRDefault="00000000" w:rsidRPr="00000000" w14:paraId="000001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5.0299072265625" w:line="240" w:lineRule="auto"/>
        <w:ind w:left="62.1600341796875" w:right="0" w:firstLine="0"/>
        <w:jc w:val="left"/>
        <w:rPr>
          <w:rFonts w:ascii="Arial" w:cs="Arial" w:eastAsia="Arial" w:hAnsi="Arial"/>
          <w:b w:val="1"/>
          <w:bCs w:val="1"/>
          <w:i w:val="0"/>
          <w:iCs w:val="0"/>
          <w:smallCaps w:val="0"/>
          <w:strike w:val="0"/>
          <w:color w:val="0f6b5c"/>
          <w:sz w:val="26"/>
          <w:szCs w:val="26"/>
          <w:u w:val="none"/>
          <w:shd w:fill="auto" w:val="clear"/>
          <w:vertAlign w:val="baseline"/>
        </w:rPr>
      </w:pPr>
      <w:r w:rsidDel="00000000" w:rsidR="00000000" w:rsidRPr="00000000">
        <w:rPr>
          <w:rFonts w:ascii="Arial" w:cs="Arial" w:eastAsia="Arial" w:hAnsi="Arial"/>
          <w:b w:val="1"/>
          <w:bCs w:val="1"/>
          <w:i w:val="0"/>
          <w:iCs w:val="0"/>
          <w:smallCaps w:val="0"/>
          <w:strike w:val="0"/>
          <w:color w:val="0f6b5c"/>
          <w:sz w:val="26"/>
          <w:szCs w:val="26"/>
          <w:u w:val="none"/>
          <w:shd w:fill="auto" w:val="clear"/>
          <w:vertAlign w:val="baseline"/>
          <w:rtl w:val="0"/>
        </w:rPr>
        <w:t xml:space="preserve">What the Major Health Authorities Recommend</w:t>
      </w:r>
    </w:p>
    <w:tbl>
      <w:tblPr>
        <w:tblStyle w:val="Table9"/>
        <w:tblW w:w="8928.000183105469" w:type="dxa"/>
        <w:jc w:val="left"/>
        <w:tblInd w:w="504.0000915527344"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03.9999389648438"/>
        <w:gridCol w:w="5328.00048828125"/>
        <w:gridCol w:w="1295.999755859375"/>
        <w:tblGridChange w:id="0">
          <w:tblGrid>
            <w:gridCol w:w="2303.9999389648438"/>
            <w:gridCol w:w="5328.00048828125"/>
            <w:gridCol w:w="1295.999755859375"/>
          </w:tblGrid>
        </w:tblGridChange>
      </w:tblGrid>
      <w:tr>
        <w:trPr>
          <w:cantSplit w:val="0"/>
          <w:trHeight w:val="367.99987792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615966796875" w:right="0" w:firstLine="0"/>
              <w:jc w:val="left"/>
              <w:rPr>
                <w:rFonts w:ascii="Arial" w:cs="Arial" w:eastAsia="Arial" w:hAnsi="Arial"/>
                <w:b w:val="1"/>
                <w:bCs w:val="1"/>
                <w:i w:val="0"/>
                <w:iCs w:val="0"/>
                <w:smallCaps w:val="0"/>
                <w:strike w:val="0"/>
                <w:sz w:val="16.600000381469727"/>
                <w:szCs w:val="16.600000381469727"/>
                <w:u w:val="none"/>
                <w:shd w:fill="auto" w:val="clear"/>
                <w:vertAlign w:val="baseline"/>
              </w:rPr>
            </w:pPr>
            <w:r w:rsidDel="00000000" w:rsidR="00000000" w:rsidRPr="00000000">
              <w:rPr>
                <w:rFonts w:ascii="Arial" w:cs="Arial" w:eastAsia="Arial" w:hAnsi="Arial"/>
                <w:b w:val="1"/>
                <w:bCs w:val="1"/>
                <w:i w:val="0"/>
                <w:iCs w:val="0"/>
                <w:smallCaps w:val="0"/>
                <w:strike w:val="0"/>
                <w:sz w:val="16.600000381469727"/>
                <w:szCs w:val="16.600000381469727"/>
                <w:u w:val="none"/>
                <w:shd w:fill="auto" w:val="clear"/>
                <w:vertAlign w:val="baseline"/>
                <w:rtl w:val="0"/>
              </w:rPr>
              <w:t xml:space="preserve">Domain </w:t>
            </w:r>
          </w:p>
        </w:tc>
        <w:tc>
          <w:tcPr>
            <w:shd w:fill="auto" w:val="clear"/>
            <w:tcMar>
              <w:top w:w="100.0" w:type="dxa"/>
              <w:left w:w="100.0" w:type="dxa"/>
              <w:bottom w:w="100.0" w:type="dxa"/>
              <w:right w:w="100.0" w:type="dxa"/>
            </w:tcMar>
            <w:vAlign w:val="top"/>
          </w:tcPr>
          <w:p w:rsidR="00000000" w:rsidDel="00000000" w:rsidP="00000000" w:rsidRDefault="00000000" w:rsidRPr="00000000" w14:paraId="000001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65594482421875" w:right="0" w:firstLine="0"/>
              <w:jc w:val="left"/>
              <w:rPr>
                <w:rFonts w:ascii="Arial" w:cs="Arial" w:eastAsia="Arial" w:hAnsi="Arial"/>
                <w:b w:val="1"/>
                <w:bCs w:val="1"/>
                <w:i w:val="0"/>
                <w:iCs w:val="0"/>
                <w:smallCaps w:val="0"/>
                <w:strike w:val="0"/>
                <w:sz w:val="16.600000381469727"/>
                <w:szCs w:val="16.600000381469727"/>
                <w:u w:val="none"/>
                <w:shd w:fill="auto" w:val="clear"/>
                <w:vertAlign w:val="baseline"/>
              </w:rPr>
            </w:pPr>
            <w:r w:rsidDel="00000000" w:rsidR="00000000" w:rsidRPr="00000000">
              <w:rPr>
                <w:rFonts w:ascii="Arial" w:cs="Arial" w:eastAsia="Arial" w:hAnsi="Arial"/>
                <w:b w:val="1"/>
                <w:bCs w:val="1"/>
                <w:i w:val="0"/>
                <w:iCs w:val="0"/>
                <w:smallCaps w:val="0"/>
                <w:strike w:val="0"/>
                <w:sz w:val="16.600000381469727"/>
                <w:szCs w:val="16.600000381469727"/>
                <w:u w:val="none"/>
                <w:shd w:fill="auto" w:val="clear"/>
                <w:vertAlign w:val="baseline"/>
                <w:rtl w:val="0"/>
              </w:rPr>
              <w:t xml:space="preserve">WHO recommendation </w:t>
            </w:r>
          </w:p>
        </w:tc>
        <w:tc>
          <w:tcPr>
            <w:shd w:fill="auto" w:val="clear"/>
            <w:tcMar>
              <w:top w:w="100.0" w:type="dxa"/>
              <w:left w:w="100.0" w:type="dxa"/>
              <w:bottom w:w="100.0" w:type="dxa"/>
              <w:right w:w="100.0" w:type="dxa"/>
            </w:tcMar>
            <w:vAlign w:val="top"/>
          </w:tcPr>
          <w:p w:rsidR="00000000" w:rsidDel="00000000" w:rsidP="00000000" w:rsidRDefault="00000000" w:rsidRPr="00000000" w14:paraId="000001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4739990234375" w:right="0" w:firstLine="0"/>
              <w:jc w:val="left"/>
              <w:rPr>
                <w:rFonts w:ascii="Arial" w:cs="Arial" w:eastAsia="Arial" w:hAnsi="Arial"/>
                <w:b w:val="1"/>
                <w:bCs w:val="1"/>
                <w:i w:val="0"/>
                <w:iCs w:val="0"/>
                <w:smallCaps w:val="0"/>
                <w:strike w:val="0"/>
                <w:sz w:val="16.600000381469727"/>
                <w:szCs w:val="16.600000381469727"/>
                <w:u w:val="none"/>
                <w:shd w:fill="auto" w:val="clear"/>
                <w:vertAlign w:val="baseline"/>
              </w:rPr>
            </w:pPr>
            <w:r w:rsidDel="00000000" w:rsidR="00000000" w:rsidRPr="00000000">
              <w:rPr>
                <w:rFonts w:ascii="Arial" w:cs="Arial" w:eastAsia="Arial" w:hAnsi="Arial"/>
                <w:b w:val="1"/>
                <w:bCs w:val="1"/>
                <w:i w:val="0"/>
                <w:iCs w:val="0"/>
                <w:smallCaps w:val="0"/>
                <w:strike w:val="0"/>
                <w:sz w:val="16.600000381469727"/>
                <w:szCs w:val="16.600000381469727"/>
                <w:u w:val="none"/>
                <w:shd w:fill="auto" w:val="clear"/>
                <w:vertAlign w:val="baseline"/>
                <w:rtl w:val="0"/>
              </w:rPr>
              <w:t xml:space="preserve">Strength</w:t>
            </w:r>
          </w:p>
        </w:tc>
      </w:tr>
      <w:tr>
        <w:trPr>
          <w:cantSplit w:val="0"/>
          <w:trHeight w:val="367.99987792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3.760070800781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Physical activity </w:t>
            </w:r>
          </w:p>
        </w:tc>
        <w:tc>
          <w:tcPr>
            <w:shd w:fill="auto" w:val="clear"/>
            <w:tcMar>
              <w:top w:w="100.0" w:type="dxa"/>
              <w:left w:w="100.0" w:type="dxa"/>
              <w:bottom w:w="100.0" w:type="dxa"/>
              <w:right w:w="100.0" w:type="dxa"/>
            </w:tcMar>
            <w:vAlign w:val="top"/>
          </w:tcPr>
          <w:p w:rsidR="00000000" w:rsidDel="00000000" w:rsidP="00000000" w:rsidRDefault="00000000" w:rsidRPr="00000000" w14:paraId="000001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4.079895019531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Recommended for adults with normal cognition to reduce decline risk </w:t>
            </w:r>
          </w:p>
        </w:tc>
        <w:tc>
          <w:tcPr>
            <w:shd w:fill="auto" w:val="clear"/>
            <w:tcMar>
              <w:top w:w="100.0" w:type="dxa"/>
              <w:left w:w="100.0" w:type="dxa"/>
              <w:bottom w:w="100.0" w:type="dxa"/>
              <w:right w:w="100.0" w:type="dxa"/>
            </w:tcMar>
            <w:vAlign w:val="top"/>
          </w:tcPr>
          <w:p w:rsidR="00000000" w:rsidDel="00000000" w:rsidP="00000000" w:rsidRDefault="00000000" w:rsidRPr="00000000" w14:paraId="000001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7.83996582031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Strong</w:t>
            </w:r>
          </w:p>
        </w:tc>
      </w:tr>
      <w:tr>
        <w:trPr>
          <w:cantSplit w:val="0"/>
          <w:trHeight w:val="368.0001831054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23999023437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Tobacco </w:t>
            </w:r>
          </w:p>
        </w:tc>
        <w:tc>
          <w:tcPr>
            <w:shd w:fill="auto" w:val="clear"/>
            <w:tcMar>
              <w:top w:w="100.0" w:type="dxa"/>
              <w:left w:w="100.0" w:type="dxa"/>
              <w:bottom w:w="100.0" w:type="dxa"/>
              <w:right w:w="100.0" w:type="dxa"/>
            </w:tcMar>
            <w:vAlign w:val="top"/>
          </w:tcPr>
          <w:p w:rsidR="00000000" w:rsidDel="00000000" w:rsidP="00000000" w:rsidRDefault="00000000" w:rsidRPr="00000000" w14:paraId="000001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2399291992187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Offer cessation help to all tobacco users </w:t>
            </w:r>
          </w:p>
        </w:tc>
        <w:tc>
          <w:tcPr>
            <w:shd w:fill="auto" w:val="clear"/>
            <w:tcMar>
              <w:top w:w="100.0" w:type="dxa"/>
              <w:left w:w="100.0" w:type="dxa"/>
              <w:bottom w:w="100.0" w:type="dxa"/>
              <w:right w:w="100.0" w:type="dxa"/>
            </w:tcMar>
            <w:vAlign w:val="top"/>
          </w:tcPr>
          <w:p w:rsidR="00000000" w:rsidDel="00000000" w:rsidP="00000000" w:rsidRDefault="00000000" w:rsidRPr="00000000" w14:paraId="000001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7.83996582031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Strong</w:t>
            </w:r>
          </w:p>
        </w:tc>
      </w:tr>
      <w:tr>
        <w:trPr>
          <w:cantSplit w:val="0"/>
          <w:trHeight w:val="576.0000610351562"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96005249023438"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Diet </w:t>
            </w:r>
          </w:p>
        </w:tc>
        <w:tc>
          <w:tcPr>
            <w:shd w:fill="auto" w:val="clear"/>
            <w:tcMar>
              <w:top w:w="100.0" w:type="dxa"/>
              <w:left w:w="100.0" w:type="dxa"/>
              <w:bottom w:w="100.0" w:type="dxa"/>
              <w:right w:w="100.0" w:type="dxa"/>
            </w:tcMar>
            <w:vAlign w:val="top"/>
          </w:tcPr>
          <w:p w:rsidR="00000000" w:rsidDel="00000000" w:rsidP="00000000" w:rsidRDefault="00000000" w:rsidRPr="00000000" w14:paraId="000001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679992675781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Mediterranean-like or healthy balanced diet </w:t>
            </w:r>
          </w:p>
        </w:tc>
        <w:tc>
          <w:tcPr>
            <w:shd w:fill="auto" w:val="clear"/>
            <w:tcMar>
              <w:top w:w="100.0" w:type="dxa"/>
              <w:left w:w="100.0" w:type="dxa"/>
              <w:bottom w:w="100.0" w:type="dxa"/>
              <w:right w:w="100.0" w:type="dxa"/>
            </w:tcMar>
            <w:vAlign w:val="top"/>
          </w:tcPr>
          <w:p w:rsidR="00000000" w:rsidDel="00000000" w:rsidP="00000000" w:rsidRDefault="00000000" w:rsidRPr="00000000" w14:paraId="000001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7.03979492187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Conditional to </w:t>
            </w:r>
          </w:p>
          <w:p w:rsidR="00000000" w:rsidDel="00000000" w:rsidP="00000000" w:rsidRDefault="00000000" w:rsidRPr="00000000" w14:paraId="000001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9400634765625" w:line="240" w:lineRule="auto"/>
              <w:ind w:left="115.12023925781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strong</w:t>
            </w:r>
          </w:p>
        </w:tc>
      </w:tr>
      <w:tr>
        <w:trPr>
          <w:cantSplit w:val="0"/>
          <w:trHeight w:val="575.9999084472656"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7.83996582031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Supplements </w:t>
            </w:r>
          </w:p>
        </w:tc>
        <w:tc>
          <w:tcPr>
            <w:shd w:fill="auto" w:val="clear"/>
            <w:tcMar>
              <w:top w:w="100.0" w:type="dxa"/>
              <w:left w:w="100.0" w:type="dxa"/>
              <w:bottom w:w="100.0" w:type="dxa"/>
              <w:right w:w="100.0" w:type="dxa"/>
            </w:tcMar>
            <w:vAlign w:val="top"/>
          </w:tcPr>
          <w:p w:rsidR="00000000" w:rsidDel="00000000" w:rsidP="00000000" w:rsidRDefault="00000000" w:rsidRPr="00000000" w14:paraId="000001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23205947875977" w:lineRule="auto"/>
              <w:ind w:left="122.3199462890625" w:right="567.281494140625" w:hanging="9.119873046875"/>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Vitamins B/E, omega-3s, multivitamins should not be used for risk reduction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1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7.83996582031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Strong </w:t>
            </w:r>
          </w:p>
          <w:p w:rsidR="00000000" w:rsidDel="00000000" w:rsidP="00000000" w:rsidRDefault="00000000" w:rsidRPr="00000000" w14:paraId="000001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9400634765625" w:line="240" w:lineRule="auto"/>
              <w:ind w:left="120.8801269531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(against)</w:t>
            </w:r>
          </w:p>
        </w:tc>
      </w:tr>
      <w:tr>
        <w:trPr>
          <w:cantSplit w:val="0"/>
          <w:trHeight w:val="368.0000305175781"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31994628906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Hypertension / diabetes </w:t>
            </w:r>
          </w:p>
        </w:tc>
        <w:tc>
          <w:tcPr>
            <w:shd w:fill="auto" w:val="clear"/>
            <w:tcMar>
              <w:top w:w="100.0" w:type="dxa"/>
              <w:left w:w="100.0" w:type="dxa"/>
              <w:bottom w:w="100.0" w:type="dxa"/>
              <w:right w:w="100.0" w:type="dxa"/>
            </w:tcMar>
            <w:vAlign w:val="top"/>
          </w:tcPr>
          <w:p w:rsidR="00000000" w:rsidDel="00000000" w:rsidP="00000000" w:rsidRDefault="00000000" w:rsidRPr="00000000" w14:paraId="000001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679992675781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Manage per existing WHO clinical guidelines </w:t>
            </w:r>
          </w:p>
        </w:tc>
        <w:tc>
          <w:tcPr>
            <w:shd w:fill="auto" w:val="clear"/>
            <w:tcMar>
              <w:top w:w="100.0" w:type="dxa"/>
              <w:left w:w="100.0" w:type="dxa"/>
              <w:bottom w:w="100.0" w:type="dxa"/>
              <w:right w:w="100.0" w:type="dxa"/>
            </w:tcMar>
            <w:vAlign w:val="top"/>
          </w:tcPr>
          <w:p w:rsidR="00000000" w:rsidDel="00000000" w:rsidP="00000000" w:rsidRDefault="00000000" w:rsidRPr="00000000" w14:paraId="000001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7.83996582031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Strong</w:t>
            </w:r>
          </w:p>
        </w:tc>
      </w:tr>
    </w:tbl>
    <w:p w:rsidR="00000000" w:rsidDel="00000000" w:rsidP="00000000" w:rsidRDefault="00000000" w:rsidRPr="00000000" w14:paraId="000001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0"/>
        <w:tblW w:w="8928.000183105469" w:type="dxa"/>
        <w:jc w:val="left"/>
        <w:tblInd w:w="504.0000915527344"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03.9999389648438"/>
        <w:gridCol w:w="5328.00048828125"/>
        <w:gridCol w:w="1295.999755859375"/>
        <w:tblGridChange w:id="0">
          <w:tblGrid>
            <w:gridCol w:w="2303.9999389648438"/>
            <w:gridCol w:w="5328.00048828125"/>
            <w:gridCol w:w="1295.999755859375"/>
          </w:tblGrid>
        </w:tblGridChange>
      </w:tblGrid>
      <w:tr>
        <w:trPr>
          <w:cantSplit w:val="0"/>
          <w:trHeight w:val="367.99926757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615966796875" w:right="0" w:firstLine="0"/>
              <w:jc w:val="left"/>
              <w:rPr>
                <w:rFonts w:ascii="Arial" w:cs="Arial" w:eastAsia="Arial" w:hAnsi="Arial"/>
                <w:b w:val="1"/>
                <w:bCs w:val="1"/>
                <w:i w:val="0"/>
                <w:iCs w:val="0"/>
                <w:smallCaps w:val="0"/>
                <w:strike w:val="0"/>
                <w:sz w:val="16.600000381469727"/>
                <w:szCs w:val="16.600000381469727"/>
                <w:u w:val="none"/>
                <w:shd w:fill="auto" w:val="clear"/>
                <w:vertAlign w:val="baseline"/>
              </w:rPr>
            </w:pPr>
            <w:r w:rsidDel="00000000" w:rsidR="00000000" w:rsidRPr="00000000">
              <w:rPr>
                <w:rFonts w:ascii="Arial" w:cs="Arial" w:eastAsia="Arial" w:hAnsi="Arial"/>
                <w:b w:val="1"/>
                <w:bCs w:val="1"/>
                <w:i w:val="0"/>
                <w:iCs w:val="0"/>
                <w:smallCaps w:val="0"/>
                <w:strike w:val="0"/>
                <w:sz w:val="16.600000381469727"/>
                <w:szCs w:val="16.600000381469727"/>
                <w:u w:val="none"/>
                <w:shd w:fill="auto" w:val="clear"/>
                <w:vertAlign w:val="baseline"/>
                <w:rtl w:val="0"/>
              </w:rPr>
              <w:t xml:space="preserve">Domain </w:t>
            </w:r>
          </w:p>
        </w:tc>
        <w:tc>
          <w:tcPr>
            <w:shd w:fill="auto" w:val="clear"/>
            <w:tcMar>
              <w:top w:w="100.0" w:type="dxa"/>
              <w:left w:w="100.0" w:type="dxa"/>
              <w:bottom w:w="100.0" w:type="dxa"/>
              <w:right w:w="100.0" w:type="dxa"/>
            </w:tcMar>
            <w:vAlign w:val="top"/>
          </w:tcPr>
          <w:p w:rsidR="00000000" w:rsidDel="00000000" w:rsidP="00000000" w:rsidRDefault="00000000" w:rsidRPr="00000000" w14:paraId="000001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65594482421875" w:right="0" w:firstLine="0"/>
              <w:jc w:val="left"/>
              <w:rPr>
                <w:rFonts w:ascii="Arial" w:cs="Arial" w:eastAsia="Arial" w:hAnsi="Arial"/>
                <w:b w:val="1"/>
                <w:bCs w:val="1"/>
                <w:i w:val="0"/>
                <w:iCs w:val="0"/>
                <w:smallCaps w:val="0"/>
                <w:strike w:val="0"/>
                <w:sz w:val="16.600000381469727"/>
                <w:szCs w:val="16.600000381469727"/>
                <w:u w:val="none"/>
                <w:shd w:fill="auto" w:val="clear"/>
                <w:vertAlign w:val="baseline"/>
              </w:rPr>
            </w:pPr>
            <w:r w:rsidDel="00000000" w:rsidR="00000000" w:rsidRPr="00000000">
              <w:rPr>
                <w:rFonts w:ascii="Arial" w:cs="Arial" w:eastAsia="Arial" w:hAnsi="Arial"/>
                <w:b w:val="1"/>
                <w:bCs w:val="1"/>
                <w:i w:val="0"/>
                <w:iCs w:val="0"/>
                <w:smallCaps w:val="0"/>
                <w:strike w:val="0"/>
                <w:sz w:val="16.600000381469727"/>
                <w:szCs w:val="16.600000381469727"/>
                <w:u w:val="none"/>
                <w:shd w:fill="auto" w:val="clear"/>
                <w:vertAlign w:val="baseline"/>
                <w:rtl w:val="0"/>
              </w:rPr>
              <w:t xml:space="preserve">WHO recommendation </w:t>
            </w:r>
          </w:p>
        </w:tc>
        <w:tc>
          <w:tcPr>
            <w:shd w:fill="auto" w:val="clear"/>
            <w:tcMar>
              <w:top w:w="100.0" w:type="dxa"/>
              <w:left w:w="100.0" w:type="dxa"/>
              <w:bottom w:w="100.0" w:type="dxa"/>
              <w:right w:w="100.0" w:type="dxa"/>
            </w:tcMar>
            <w:vAlign w:val="top"/>
          </w:tcPr>
          <w:p w:rsidR="00000000" w:rsidDel="00000000" w:rsidP="00000000" w:rsidRDefault="00000000" w:rsidRPr="00000000" w14:paraId="000001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4739990234375" w:right="0" w:firstLine="0"/>
              <w:jc w:val="left"/>
              <w:rPr>
                <w:rFonts w:ascii="Arial" w:cs="Arial" w:eastAsia="Arial" w:hAnsi="Arial"/>
                <w:b w:val="1"/>
                <w:bCs w:val="1"/>
                <w:i w:val="0"/>
                <w:iCs w:val="0"/>
                <w:smallCaps w:val="0"/>
                <w:strike w:val="0"/>
                <w:sz w:val="16.600000381469727"/>
                <w:szCs w:val="16.600000381469727"/>
                <w:u w:val="none"/>
                <w:shd w:fill="auto" w:val="clear"/>
                <w:vertAlign w:val="baseline"/>
              </w:rPr>
            </w:pPr>
            <w:r w:rsidDel="00000000" w:rsidR="00000000" w:rsidRPr="00000000">
              <w:rPr>
                <w:rFonts w:ascii="Arial" w:cs="Arial" w:eastAsia="Arial" w:hAnsi="Arial"/>
                <w:b w:val="1"/>
                <w:bCs w:val="1"/>
                <w:i w:val="0"/>
                <w:iCs w:val="0"/>
                <w:smallCaps w:val="0"/>
                <w:strike w:val="0"/>
                <w:sz w:val="16.600000381469727"/>
                <w:szCs w:val="16.600000381469727"/>
                <w:u w:val="none"/>
                <w:shd w:fill="auto" w:val="clear"/>
                <w:vertAlign w:val="baseline"/>
                <w:rtl w:val="0"/>
              </w:rPr>
              <w:t xml:space="preserve">Strength</w:t>
            </w:r>
          </w:p>
        </w:tc>
      </w:tr>
      <w:tr>
        <w:trPr>
          <w:cantSplit w:val="0"/>
          <w:trHeight w:val="576.000976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231201171875" w:lineRule="auto"/>
              <w:ind w:left="115.76004028320312" w:right="415.5999755859375" w:firstLine="1.2799072265625"/>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Cognitive training / social activity</w:t>
            </w:r>
          </w:p>
        </w:tc>
        <w:tc>
          <w:tcPr>
            <w:shd w:fill="auto" w:val="clear"/>
            <w:tcMar>
              <w:top w:w="100.0" w:type="dxa"/>
              <w:left w:w="100.0" w:type="dxa"/>
              <w:bottom w:w="100.0" w:type="dxa"/>
              <w:right w:w="100.0" w:type="dxa"/>
            </w:tcMar>
            <w:vAlign w:val="top"/>
          </w:tcPr>
          <w:p w:rsidR="00000000" w:rsidDel="00000000" w:rsidP="00000000" w:rsidRDefault="00000000" w:rsidRPr="00000000" w14:paraId="000001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160034179687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Now recommended as of the 2026 update </w:t>
            </w:r>
          </w:p>
        </w:tc>
        <w:tc>
          <w:tcPr>
            <w:shd w:fill="auto" w:val="clear"/>
            <w:tcMar>
              <w:top w:w="100.0" w:type="dxa"/>
              <w:left w:w="100.0" w:type="dxa"/>
              <w:bottom w:w="100.0" w:type="dxa"/>
              <w:right w:w="100.0" w:type="dxa"/>
            </w:tcMar>
            <w:vAlign w:val="top"/>
          </w:tcPr>
          <w:p w:rsidR="00000000" w:rsidDel="00000000" w:rsidP="00000000" w:rsidRDefault="00000000" w:rsidRPr="00000000" w14:paraId="000001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7.03979492187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Conditional</w:t>
            </w:r>
          </w:p>
        </w:tc>
      </w:tr>
      <w:tr>
        <w:trPr>
          <w:cantSplit w:val="0"/>
          <w:trHeight w:val="575.99975585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31994628906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Hormone therapy </w:t>
            </w:r>
          </w:p>
        </w:tc>
        <w:tc>
          <w:tcPr>
            <w:shd w:fill="auto" w:val="clear"/>
            <w:tcMar>
              <w:top w:w="100.0" w:type="dxa"/>
              <w:left w:w="100.0" w:type="dxa"/>
              <w:bottom w:w="100.0" w:type="dxa"/>
              <w:right w:w="100.0" w:type="dxa"/>
            </w:tcMar>
            <w:vAlign w:val="top"/>
          </w:tcPr>
          <w:p w:rsidR="00000000" w:rsidDel="00000000" w:rsidP="00000000" w:rsidRDefault="00000000" w:rsidRPr="00000000" w14:paraId="000001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4.079895019531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Recommended against, specifically for dementia risk reduction </w:t>
            </w:r>
          </w:p>
        </w:tc>
        <w:tc>
          <w:tcPr>
            <w:shd w:fill="auto" w:val="clear"/>
            <w:tcMar>
              <w:top w:w="100.0" w:type="dxa"/>
              <w:left w:w="100.0" w:type="dxa"/>
              <w:bottom w:w="100.0" w:type="dxa"/>
              <w:right w:w="100.0" w:type="dxa"/>
            </w:tcMar>
            <w:vAlign w:val="top"/>
          </w:tcPr>
          <w:p w:rsidR="00000000" w:rsidDel="00000000" w:rsidP="00000000" w:rsidRDefault="00000000" w:rsidRPr="00000000" w14:paraId="000001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7.83996582031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Strong </w:t>
            </w:r>
          </w:p>
          <w:p w:rsidR="00000000" w:rsidDel="00000000" w:rsidP="00000000" w:rsidRDefault="00000000" w:rsidRPr="00000000" w14:paraId="000001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939453125" w:line="240" w:lineRule="auto"/>
              <w:ind w:left="120.8801269531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(against)</w:t>
            </w:r>
          </w:p>
        </w:tc>
      </w:tr>
      <w:tr>
        <w:trPr>
          <w:cantSplit w:val="0"/>
          <w:trHeight w:val="575.99975585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31994628906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Household air pollution </w:t>
            </w:r>
          </w:p>
        </w:tc>
        <w:tc>
          <w:tcPr>
            <w:shd w:fill="auto" w:val="clear"/>
            <w:tcMar>
              <w:top w:w="100.0" w:type="dxa"/>
              <w:left w:w="100.0" w:type="dxa"/>
              <w:bottom w:w="100.0" w:type="dxa"/>
              <w:right w:w="100.0" w:type="dxa"/>
            </w:tcMar>
            <w:vAlign w:val="top"/>
          </w:tcPr>
          <w:p w:rsidR="00000000" w:rsidDel="00000000" w:rsidP="00000000" w:rsidRDefault="00000000" w:rsidRPr="00000000" w14:paraId="000001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4.079895019531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Reduce exposure where feasible </w:t>
            </w:r>
          </w:p>
        </w:tc>
        <w:tc>
          <w:tcPr>
            <w:shd w:fill="auto" w:val="clear"/>
            <w:tcMar>
              <w:top w:w="100.0" w:type="dxa"/>
              <w:left w:w="100.0" w:type="dxa"/>
              <w:bottom w:w="100.0" w:type="dxa"/>
              <w:right w:w="100.0" w:type="dxa"/>
            </w:tcMar>
            <w:vAlign w:val="top"/>
          </w:tcPr>
          <w:p w:rsidR="00000000" w:rsidDel="00000000" w:rsidP="00000000" w:rsidRDefault="00000000" w:rsidRPr="00000000" w14:paraId="000001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7.03979492187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Conditional </w:t>
            </w:r>
          </w:p>
          <w:p w:rsidR="00000000" w:rsidDel="00000000" w:rsidP="00000000" w:rsidRDefault="00000000" w:rsidRPr="00000000" w14:paraId="000001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939453125" w:line="240" w:lineRule="auto"/>
              <w:ind w:left="120.8801269531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(new in 2026)</w:t>
            </w:r>
          </w:p>
        </w:tc>
      </w:tr>
    </w:tbl>
    <w:p w:rsidR="00000000" w:rsidDel="00000000" w:rsidP="00000000" w:rsidRDefault="00000000" w:rsidRPr="00000000" w14:paraId="000001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9.88402366638184" w:lineRule="auto"/>
        <w:ind w:left="65" w:right="487.000732421875" w:hanging="4.199981689453125"/>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 Alzheimer's Association's consumer list, 10 Healthy Habits for Your Brain, echoes this: challenge your mind, stay in school, get moving, protect your head, be smoke-free, control your blood pressure, manage diabetes, eat right, maintain a healthy weight, and sleep well.</w:t>
      </w:r>
    </w:p>
    <w:p w:rsidR="00000000" w:rsidDel="00000000" w:rsidP="00000000" w:rsidRDefault="00000000" w:rsidRPr="00000000" w14:paraId="000001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9.88402366638184" w:lineRule="auto"/>
        <w:ind w:left="65" w:right="487.000732421875" w:hanging="4.199981689453125"/>
        <w:jc w:val="left"/>
        <w:rPr>
          <w:sz w:val="20"/>
          <w:szCs w:val="20"/>
        </w:rPr>
      </w:pPr>
      <w:r w:rsidDel="00000000" w:rsidR="00000000" w:rsidRPr="00000000">
        <w:rPr>
          <w:rtl w:val="0"/>
        </w:rPr>
      </w:r>
    </w:p>
    <w:p w:rsidR="00000000" w:rsidDel="00000000" w:rsidP="00000000" w:rsidRDefault="00000000" w:rsidRPr="00000000" w14:paraId="000001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9.88402366638184" w:lineRule="auto"/>
        <w:ind w:left="65" w:right="487.000732421875" w:hanging="4.199981689453125"/>
        <w:jc w:val="left"/>
        <w:rPr>
          <w:sz w:val="20"/>
          <w:szCs w:val="20"/>
        </w:rPr>
      </w:pPr>
      <w:r w:rsidDel="00000000" w:rsidR="00000000" w:rsidRPr="00000000">
        <w:rPr>
          <w:rtl w:val="0"/>
        </w:rPr>
      </w:r>
    </w:p>
    <w:p w:rsidR="00000000" w:rsidDel="00000000" w:rsidP="00000000" w:rsidRDefault="00000000" w:rsidRPr="00000000" w14:paraId="000001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7.760009765625" w:right="0" w:firstLine="0"/>
        <w:jc w:val="left"/>
        <w:rPr>
          <w:rFonts w:ascii="Arial" w:cs="Arial" w:eastAsia="Arial" w:hAnsi="Arial"/>
          <w:b w:val="1"/>
          <w:bCs w:val="1"/>
          <w:i w:val="0"/>
          <w:iCs w:val="0"/>
          <w:smallCaps w:val="0"/>
          <w:strike w:val="0"/>
          <w:color w:val="0f6b5c"/>
          <w:sz w:val="26"/>
          <w:szCs w:val="26"/>
          <w:u w:val="none"/>
          <w:shd w:fill="auto" w:val="clear"/>
          <w:vertAlign w:val="baseline"/>
        </w:rPr>
      </w:pPr>
      <w:r w:rsidDel="00000000" w:rsidR="00000000" w:rsidRPr="00000000">
        <w:rPr>
          <w:rFonts w:ascii="Arial" w:cs="Arial" w:eastAsia="Arial" w:hAnsi="Arial"/>
          <w:b w:val="1"/>
          <w:bCs w:val="1"/>
          <w:i w:val="0"/>
          <w:iCs w:val="0"/>
          <w:smallCaps w:val="0"/>
          <w:strike w:val="0"/>
          <w:color w:val="0f6b5c"/>
          <w:sz w:val="26"/>
          <w:szCs w:val="26"/>
          <w:u w:val="none"/>
          <w:shd w:fill="auto" w:val="clear"/>
          <w:vertAlign w:val="baseline"/>
          <w:rtl w:val="0"/>
        </w:rPr>
        <w:t xml:space="preserve">Blood Pressure and Vascular Health </w:t>
      </w:r>
    </w:p>
    <w:p w:rsidR="00000000" w:rsidDel="00000000" w:rsidP="00000000" w:rsidRDefault="00000000" w:rsidRPr="00000000" w14:paraId="000001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6.57958984375" w:line="289.88402366638184" w:lineRule="auto"/>
        <w:ind w:left="64.4000244140625" w:right="163.20068359375" w:hanging="3.600006103515625"/>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This is the single best-supported medical lever in this entire guide.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 brain runs on a dense network of small blood vessels — damage them and you get vascular injury linked to higher rates of Alzheimer's-type diagnoses. The 2025 AHA/ACC guideline makes a Class 1 recommendation: in adults with hypertension, a systolic blood pressure goal of 130 mm Hg is recommended specifically to help prevent mild cognitive impairment and dementia. </w:t>
      </w:r>
    </w:p>
    <w:p w:rsidR="00000000" w:rsidDel="00000000" w:rsidP="00000000" w:rsidRDefault="00000000" w:rsidRPr="00000000" w14:paraId="000001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5.030517578125" w:line="289.88402366638184" w:lineRule="auto"/>
        <w:ind w:left="60.800018310546875" w:right="45.802001953125"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 landmark SPRINT MIND trial randomized 9,361 adults 50 and over to a systolic target below 120 versus below 140 mm Hg. Probable dementia occurred in 248 vs 293 cases (HR 0.86, p=0.08) — short of statistical significance. But mild cognitive impairment was significantly reduced (380 vs 430 cases, HR 0.87, p=0.04), as was the combined MCI-or-dementia endpoint (555 vs 622 cases, HR 0.89, p=0.04). Pooled across 14 trials and over 96,000 participants, blood-pressure lowering reduced dementia or cognitive impairment with an odds ratio of 0.93 — consistent but modest, an absolute reduction of well under 1%. </w:t>
      </w:r>
    </w:p>
    <w:p w:rsidR="00000000" w:rsidDel="00000000" w:rsidP="00000000" w:rsidRDefault="00000000" w:rsidRPr="00000000" w14:paraId="000001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5.030517578125" w:line="289.88402366638184" w:lineRule="auto"/>
        <w:ind w:left="60.200042724609375" w:right="395.80322265625" w:firstLine="0.5999755859375"/>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Your job during these 30 days is measurement, not medication changes — bring your blood pressure log to your clinician. </w:t>
      </w:r>
    </w:p>
    <w:p w:rsidR="00000000" w:rsidDel="00000000" w:rsidP="00000000" w:rsidRDefault="00000000" w:rsidRPr="00000000" w14:paraId="000001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5.0299072265625" w:line="240" w:lineRule="auto"/>
        <w:ind w:left="77.760009765625" w:right="0" w:firstLine="0"/>
        <w:jc w:val="left"/>
        <w:rPr>
          <w:rFonts w:ascii="Arial" w:cs="Arial" w:eastAsia="Arial" w:hAnsi="Arial"/>
          <w:b w:val="1"/>
          <w:bCs w:val="1"/>
          <w:i w:val="0"/>
          <w:iCs w:val="0"/>
          <w:smallCaps w:val="0"/>
          <w:strike w:val="0"/>
          <w:color w:val="0f6b5c"/>
          <w:sz w:val="26"/>
          <w:szCs w:val="26"/>
          <w:u w:val="none"/>
          <w:shd w:fill="auto" w:val="clear"/>
          <w:vertAlign w:val="baseline"/>
        </w:rPr>
      </w:pPr>
      <w:r w:rsidDel="00000000" w:rsidR="00000000" w:rsidRPr="00000000">
        <w:rPr>
          <w:rFonts w:ascii="Arial" w:cs="Arial" w:eastAsia="Arial" w:hAnsi="Arial"/>
          <w:b w:val="1"/>
          <w:bCs w:val="1"/>
          <w:i w:val="0"/>
          <w:iCs w:val="0"/>
          <w:smallCaps w:val="0"/>
          <w:strike w:val="0"/>
          <w:color w:val="0f6b5c"/>
          <w:sz w:val="26"/>
          <w:szCs w:val="26"/>
          <w:u w:val="none"/>
          <w:shd w:fill="auto" w:val="clear"/>
          <w:vertAlign w:val="baseline"/>
          <w:rtl w:val="0"/>
        </w:rPr>
        <w:t xml:space="preserve">Exercise and Physical Resilience </w:t>
      </w:r>
    </w:p>
    <w:p w:rsidR="00000000" w:rsidDel="00000000" w:rsidP="00000000" w:rsidRDefault="00000000" w:rsidRPr="00000000" w14:paraId="000001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6.5802001953125" w:line="289.88402366638184" w:lineRule="auto"/>
        <w:ind w:left="69.60006713867188" w:right="251.4013671875" w:firstLine="5.5999755859375"/>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Physical activity carries WHO's strongest possible rating: recommended to adults with normal cognition to reduce decline risk. In one large observational study of nearly 80,000 adults, roughly 9,800 steps a day was linked to significantly lower dementia risk — and even 3,800 steps a day showed meaningful benefit. Regular physical exercise has been linked to reductions in dementia risk as high as 41-45% in some meta-analyses. </w:t>
      </w:r>
    </w:p>
    <w:p w:rsidR="00000000" w:rsidDel="00000000" w:rsidP="00000000" w:rsidRDefault="00000000" w:rsidRPr="00000000" w14:paraId="000001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5.0299072265625" w:line="289.88402366638184" w:lineRule="auto"/>
        <w:ind w:left="63.19999694824219" w:right="38.00048828125" w:hanging="2.3999786376953125"/>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 honest half: trials using cognition as the primary outcome have mostly come back null. But strength training still earns its place — low grip strength is linked to dementia risk, structured exercise cuts fall risk by roughly 23%, and head injury is itself an independent risk factor, making fall prevention doubly important. </w:t>
      </w:r>
    </w:p>
    <w:p w:rsidR="00000000" w:rsidDel="00000000" w:rsidP="00000000" w:rsidRDefault="00000000" w:rsidRPr="00000000" w14:paraId="000001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5.0299072265625" w:line="240" w:lineRule="auto"/>
        <w:ind w:left="68.14002990722656" w:right="0" w:firstLine="0"/>
        <w:jc w:val="left"/>
        <w:rPr>
          <w:rFonts w:ascii="Arial" w:cs="Arial" w:eastAsia="Arial" w:hAnsi="Arial"/>
          <w:b w:val="1"/>
          <w:bCs w:val="1"/>
          <w:i w:val="0"/>
          <w:iCs w:val="0"/>
          <w:smallCaps w:val="0"/>
          <w:strike w:val="0"/>
          <w:color w:val="0f6b5c"/>
          <w:sz w:val="26"/>
          <w:szCs w:val="26"/>
          <w:u w:val="none"/>
          <w:shd w:fill="auto" w:val="clear"/>
          <w:vertAlign w:val="baseline"/>
        </w:rPr>
      </w:pPr>
      <w:r w:rsidDel="00000000" w:rsidR="00000000" w:rsidRPr="00000000">
        <w:rPr>
          <w:rFonts w:ascii="Arial" w:cs="Arial" w:eastAsia="Arial" w:hAnsi="Arial"/>
          <w:b w:val="1"/>
          <w:bCs w:val="1"/>
          <w:i w:val="0"/>
          <w:iCs w:val="0"/>
          <w:smallCaps w:val="0"/>
          <w:strike w:val="0"/>
          <w:color w:val="0f6b5c"/>
          <w:sz w:val="26"/>
          <w:szCs w:val="26"/>
          <w:u w:val="none"/>
          <w:shd w:fill="auto" w:val="clear"/>
          <w:vertAlign w:val="baseline"/>
          <w:rtl w:val="0"/>
        </w:rPr>
        <w:t xml:space="preserve">Sleep </w:t>
      </w:r>
    </w:p>
    <w:p w:rsidR="00000000" w:rsidDel="00000000" w:rsidP="00000000" w:rsidRDefault="00000000" w:rsidRPr="00000000" w14:paraId="000001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6.5802001953125" w:line="289.88402366638184" w:lineRule="auto"/>
        <w:ind w:left="60.800018310546875" w:right="38.00048828125"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 American Heart Association sets the adult sleep target at 7 to 9 hours nightly as one of its eight core health metrics. Deep sleep specifically allows the glymphatic system to clear waste proteins, including beta-amyloid, from brain tissue — a mechanistic reason sleep quality (not just duration) matters. </w:t>
      </w:r>
    </w:p>
    <w:p w:rsidR="00000000" w:rsidDel="00000000" w:rsidP="00000000" w:rsidRDefault="00000000" w:rsidRPr="00000000" w14:paraId="000001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5.0299072265625" w:line="289.88402366638184" w:lineRule="auto"/>
        <w:ind w:left="58.000030517578125" w:right="38.00048828125" w:firstLine="14.800033569335938"/>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Be clear on the grade: WHO judged sleep evidence insufficient for a strong 2026 recommendation, and the National Institute on Aging places sleep in its "some but not as much evidence" tier. Sleep still earns its place in this protocol because it's free, safe, supports every other habit, and poor sleep is the doorway to sleep apnea — a condition linked to heart disease, diabetes, and cognitive impairment. </w:t>
      </w:r>
    </w:p>
    <w:p w:rsidR="00000000" w:rsidDel="00000000" w:rsidP="00000000" w:rsidRDefault="00000000" w:rsidRPr="00000000" w14:paraId="000001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5.0299072265625" w:line="240" w:lineRule="auto"/>
        <w:ind w:left="68.14002990722656" w:right="0" w:firstLine="0"/>
        <w:jc w:val="left"/>
        <w:rPr>
          <w:rFonts w:ascii="Arial" w:cs="Arial" w:eastAsia="Arial" w:hAnsi="Arial"/>
          <w:b w:val="1"/>
          <w:bCs w:val="1"/>
          <w:i w:val="0"/>
          <w:iCs w:val="0"/>
          <w:smallCaps w:val="0"/>
          <w:strike w:val="0"/>
          <w:color w:val="0f6b5c"/>
          <w:sz w:val="26"/>
          <w:szCs w:val="26"/>
          <w:u w:val="none"/>
          <w:shd w:fill="auto" w:val="clear"/>
          <w:vertAlign w:val="baseline"/>
        </w:rPr>
      </w:pPr>
      <w:r w:rsidDel="00000000" w:rsidR="00000000" w:rsidRPr="00000000">
        <w:rPr>
          <w:rFonts w:ascii="Arial" w:cs="Arial" w:eastAsia="Arial" w:hAnsi="Arial"/>
          <w:b w:val="1"/>
          <w:bCs w:val="1"/>
          <w:i w:val="0"/>
          <w:iCs w:val="0"/>
          <w:smallCaps w:val="0"/>
          <w:strike w:val="0"/>
          <w:color w:val="0f6b5c"/>
          <w:sz w:val="26"/>
          <w:szCs w:val="26"/>
          <w:u w:val="none"/>
          <w:shd w:fill="auto" w:val="clear"/>
          <w:vertAlign w:val="baseline"/>
          <w:rtl w:val="0"/>
        </w:rPr>
        <w:t xml:space="preserve">Senses: Hearing and Vision </w:t>
      </w:r>
    </w:p>
    <w:p w:rsidR="00000000" w:rsidDel="00000000" w:rsidP="00000000" w:rsidRDefault="00000000" w:rsidRPr="00000000" w14:paraId="000001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6.57989501953125" w:line="289.88402366638184" w:lineRule="auto"/>
        <w:ind w:left="64.4000244140625" w:right="128.602294921875" w:firstLine="9.00001525878906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Hearing loss carries a relative risk of 1.4 and a 7% weighted PAF in the Lancet Commission analysis — the single largest modifiable midlife factor identified. Untreated vision loss adds another 2% weighted PAF at late life. Both are straightforward to screen for and treat, making them some of the highest-leverage, lowest-effort actions in this guide — though note that the large ACHIEVE hearing-aid trial found no overall cognitive benefit, only in a higher-risk subgroup. </w:t>
      </w:r>
    </w:p>
    <w:p w:rsidR="00000000" w:rsidDel="00000000" w:rsidP="00000000" w:rsidRDefault="00000000" w:rsidRPr="00000000" w14:paraId="000001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5.0300598144531" w:line="240" w:lineRule="auto"/>
        <w:ind w:left="75.94001770019531" w:right="0" w:firstLine="0"/>
        <w:jc w:val="left"/>
        <w:rPr>
          <w:rFonts w:ascii="Arial" w:cs="Arial" w:eastAsia="Arial" w:hAnsi="Arial"/>
          <w:b w:val="1"/>
          <w:bCs w:val="1"/>
          <w:i w:val="0"/>
          <w:iCs w:val="0"/>
          <w:smallCaps w:val="0"/>
          <w:strike w:val="0"/>
          <w:color w:val="0f6b5c"/>
          <w:sz w:val="26"/>
          <w:szCs w:val="26"/>
          <w:u w:val="none"/>
          <w:shd w:fill="auto" w:val="clear"/>
          <w:vertAlign w:val="baseline"/>
        </w:rPr>
      </w:pPr>
      <w:r w:rsidDel="00000000" w:rsidR="00000000" w:rsidRPr="00000000">
        <w:rPr>
          <w:rFonts w:ascii="Arial" w:cs="Arial" w:eastAsia="Arial" w:hAnsi="Arial"/>
          <w:b w:val="1"/>
          <w:bCs w:val="1"/>
          <w:i w:val="0"/>
          <w:iCs w:val="0"/>
          <w:smallCaps w:val="0"/>
          <w:strike w:val="0"/>
          <w:color w:val="0f6b5c"/>
          <w:sz w:val="26"/>
          <w:szCs w:val="26"/>
          <w:u w:val="none"/>
          <w:shd w:fill="auto" w:val="clear"/>
          <w:vertAlign w:val="baseline"/>
          <w:rtl w:val="0"/>
        </w:rPr>
        <w:t xml:space="preserve">Mind, Mood, and Connection</w:t>
      </w:r>
    </w:p>
    <w:p w:rsidR="00000000" w:rsidDel="00000000" w:rsidP="00000000" w:rsidRDefault="00000000" w:rsidRPr="00000000" w14:paraId="000001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9.88402366638184" w:lineRule="auto"/>
        <w:ind w:left="66.00006103515625" w:right="451.6015625" w:firstLine="8.199996948242188"/>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Depression carries the highest single relative risk in the Lancet analysis (2.2), and social isolation carries a relative risk of 1.6 with a 5% weighted PAF. The 2026 WHO update newly recommends cognitive training, cognitive stimulation, and social engagement — a shift from 2019, when social-factor evidence was judged </w:t>
      </w:r>
    </w:p>
    <w:p w:rsidR="00000000" w:rsidDel="00000000" w:rsidP="00000000" w:rsidRDefault="00000000" w:rsidRPr="00000000" w14:paraId="000001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030517578125" w:line="289.88402366638184" w:lineRule="auto"/>
        <w:ind w:left="69.60006713867188" w:right="577.000732421875" w:firstLine="1.7999267578125"/>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insufficient. Combined, these form the "multidomain" pattern tested by FINGER and US POINTER — real benefit, but modest in size. In ACTIVE, a 10-year randomized trial of 2,802 older adults, cognitive training produced durable gains mostly confined to the specific trained skill.</w:t>
      </w:r>
    </w:p>
    <w:p w:rsidR="00000000" w:rsidDel="00000000" w:rsidP="00000000" w:rsidRDefault="00000000" w:rsidRPr="00000000" w14:paraId="000001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52.8000068664551" w:lineRule="auto"/>
        <w:ind w:left="72.44003295898438" w:right="290.216064453125" w:hanging="1.1800384521484375"/>
        <w:jc w:val="left"/>
        <w:rPr>
          <w:rFonts w:ascii="Arial" w:cs="Arial" w:eastAsia="Arial" w:hAnsi="Arial"/>
          <w:b w:val="0"/>
          <w:bCs w:val="0"/>
          <w:i w:val="0"/>
          <w:iCs w:val="0"/>
          <w:smallCaps w:val="0"/>
          <w:strike w:val="0"/>
          <w:color w:val="1b3a4b"/>
          <w:sz w:val="19"/>
          <w:szCs w:val="19"/>
          <w:u w:val="none"/>
          <w:shd w:fill="auto" w:val="clear"/>
          <w:vertAlign w:val="baseline"/>
        </w:rPr>
      </w:pPr>
      <w:r w:rsidDel="00000000" w:rsidR="00000000" w:rsidRPr="00000000">
        <w:rPr>
          <w:rFonts w:ascii="Arial" w:cs="Arial" w:eastAsia="Arial" w:hAnsi="Arial"/>
          <w:b w:val="1"/>
          <w:bCs w:val="1"/>
          <w:i w:val="0"/>
          <w:iCs w:val="0"/>
          <w:smallCaps w:val="0"/>
          <w:strike w:val="0"/>
          <w:color w:val="1b3a4b"/>
          <w:sz w:val="34"/>
          <w:szCs w:val="34"/>
          <w:u w:val="none"/>
          <w:shd w:fill="auto" w:val="clear"/>
          <w:vertAlign w:val="baseline"/>
          <w:rtl w:val="0"/>
        </w:rPr>
        <w:t xml:space="preserve">Section 4: Environmental and Medical Risk Factors </w:t>
      </w:r>
      <w:r w:rsidDel="00000000" w:rsidR="00000000" w:rsidRPr="00000000">
        <w:rPr>
          <w:rFonts w:ascii="Arial" w:cs="Arial" w:eastAsia="Arial" w:hAnsi="Arial"/>
          <w:b w:val="1"/>
          <w:bCs w:val="1"/>
          <w:i w:val="0"/>
          <w:iCs w:val="0"/>
          <w:smallCaps w:val="0"/>
          <w:strike w:val="0"/>
          <w:color w:val="1b3a4b"/>
          <w:sz w:val="19"/>
          <w:szCs w:val="19"/>
          <w:u w:val="none"/>
          <w:shd w:fill="auto" w:val="clear"/>
          <w:vertAlign w:val="baseline"/>
          <w:rtl w:val="0"/>
        </w:rPr>
        <w:t xml:space="preserve">Bottom line: </w:t>
      </w:r>
      <w:r w:rsidDel="00000000" w:rsidR="00000000" w:rsidRPr="00000000">
        <w:rPr>
          <w:rFonts w:ascii="Arial" w:cs="Arial" w:eastAsia="Arial" w:hAnsi="Arial"/>
          <w:b w:val="0"/>
          <w:bCs w:val="0"/>
          <w:i w:val="0"/>
          <w:iCs w:val="0"/>
          <w:smallCaps w:val="0"/>
          <w:strike w:val="0"/>
          <w:color w:val="1b3a4b"/>
          <w:sz w:val="19"/>
          <w:szCs w:val="19"/>
          <w:u w:val="none"/>
          <w:shd w:fill="auto" w:val="clear"/>
          <w:vertAlign w:val="baseline"/>
          <w:rtl w:val="0"/>
        </w:rPr>
        <w:t xml:space="preserve">several everyday, non-dietary factors carry real evidence, ranked here from most to least actionable. </w:t>
      </w:r>
    </w:p>
    <w:p w:rsidR="00000000" w:rsidDel="00000000" w:rsidP="00000000" w:rsidRDefault="00000000" w:rsidRPr="00000000" w14:paraId="000001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3.42041015625" w:line="240" w:lineRule="auto"/>
        <w:ind w:left="69.44000244140625" w:right="0" w:firstLine="0"/>
        <w:jc w:val="left"/>
        <w:rPr>
          <w:rFonts w:ascii="Arial" w:cs="Arial" w:eastAsia="Arial" w:hAnsi="Arial"/>
          <w:b w:val="1"/>
          <w:bCs w:val="1"/>
          <w:i w:val="0"/>
          <w:iCs w:val="0"/>
          <w:smallCaps w:val="0"/>
          <w:strike w:val="0"/>
          <w:color w:val="0f6b5c"/>
          <w:sz w:val="26"/>
          <w:szCs w:val="26"/>
          <w:u w:val="none"/>
          <w:shd w:fill="auto" w:val="clear"/>
          <w:vertAlign w:val="baseline"/>
        </w:rPr>
      </w:pPr>
      <w:r w:rsidDel="00000000" w:rsidR="00000000" w:rsidRPr="00000000">
        <w:rPr>
          <w:rFonts w:ascii="Arial" w:cs="Arial" w:eastAsia="Arial" w:hAnsi="Arial"/>
          <w:b w:val="1"/>
          <w:bCs w:val="1"/>
          <w:i w:val="0"/>
          <w:iCs w:val="0"/>
          <w:smallCaps w:val="0"/>
          <w:strike w:val="0"/>
          <w:color w:val="0f6b5c"/>
          <w:sz w:val="26"/>
          <w:szCs w:val="26"/>
          <w:u w:val="none"/>
          <w:shd w:fill="auto" w:val="clear"/>
          <w:vertAlign w:val="baseline"/>
          <w:rtl w:val="0"/>
        </w:rPr>
        <w:t xml:space="preserve">Oral and Periodontal Health </w:t>
      </w:r>
    </w:p>
    <w:p w:rsidR="00000000" w:rsidDel="00000000" w:rsidP="00000000" w:rsidRDefault="00000000" w:rsidRPr="00000000" w14:paraId="000001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6.57958984375" w:line="289.88402366638184" w:lineRule="auto"/>
        <w:ind w:left="66.00006103515625" w:right="374.403076171875" w:firstLine="9.199981689453125"/>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Periodontitis is gum disease advanced enough to damage the tissue and bone holding teeth. Chronic gum infection produces body-wide inflammation, and the bacterium Porphyromonas gingivalis releases enzymes called gingipains that some researchers propose can reach the brain. </w:t>
      </w:r>
    </w:p>
    <w:tbl>
      <w:tblPr>
        <w:tblStyle w:val="Table11"/>
        <w:tblW w:w="7919.999847412109" w:type="dxa"/>
        <w:jc w:val="left"/>
        <w:tblInd w:w="216.00006103515625"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736.000213623047"/>
        <w:gridCol w:w="2447.9998779296875"/>
        <w:gridCol w:w="2735.999755859375"/>
        <w:tblGridChange w:id="0">
          <w:tblGrid>
            <w:gridCol w:w="2736.000213623047"/>
            <w:gridCol w:w="2447.9998779296875"/>
            <w:gridCol w:w="2735.999755859375"/>
          </w:tblGrid>
        </w:tblGridChange>
      </w:tblGrid>
      <w:tr>
        <w:trPr>
          <w:cantSplit w:val="0"/>
          <w:trHeight w:val="368.0004882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615966796875" w:right="0" w:firstLine="0"/>
              <w:jc w:val="left"/>
              <w:rPr>
                <w:rFonts w:ascii="Arial" w:cs="Arial" w:eastAsia="Arial" w:hAnsi="Arial"/>
                <w:b w:val="1"/>
                <w:bCs w:val="1"/>
                <w:i w:val="0"/>
                <w:iCs w:val="0"/>
                <w:smallCaps w:val="0"/>
                <w:strike w:val="0"/>
                <w:sz w:val="16.600000381469727"/>
                <w:szCs w:val="16.600000381469727"/>
                <w:u w:val="none"/>
                <w:shd w:fill="auto" w:val="clear"/>
                <w:vertAlign w:val="baseline"/>
              </w:rPr>
            </w:pPr>
            <w:r w:rsidDel="00000000" w:rsidR="00000000" w:rsidRPr="00000000">
              <w:rPr>
                <w:rFonts w:ascii="Arial" w:cs="Arial" w:eastAsia="Arial" w:hAnsi="Arial"/>
                <w:b w:val="1"/>
                <w:bCs w:val="1"/>
                <w:i w:val="0"/>
                <w:iCs w:val="0"/>
                <w:smallCaps w:val="0"/>
                <w:strike w:val="0"/>
                <w:sz w:val="16.600000381469727"/>
                <w:szCs w:val="16.600000381469727"/>
                <w:u w:val="none"/>
                <w:shd w:fill="auto" w:val="clear"/>
                <w:vertAlign w:val="baseline"/>
                <w:rtl w:val="0"/>
              </w:rPr>
              <w:t xml:space="preserve">Finding </w:t>
            </w:r>
          </w:p>
        </w:tc>
        <w:tc>
          <w:tcPr>
            <w:shd w:fill="auto" w:val="clear"/>
            <w:tcMar>
              <w:top w:w="100.0" w:type="dxa"/>
              <w:left w:w="100.0" w:type="dxa"/>
              <w:bottom w:w="100.0" w:type="dxa"/>
              <w:right w:w="100.0" w:type="dxa"/>
            </w:tcMar>
            <w:vAlign w:val="top"/>
          </w:tcPr>
          <w:p w:rsidR="00000000" w:rsidDel="00000000" w:rsidP="00000000" w:rsidRDefault="00000000" w:rsidRPr="00000000" w14:paraId="000001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615966796875" w:right="0" w:firstLine="0"/>
              <w:jc w:val="left"/>
              <w:rPr>
                <w:rFonts w:ascii="Arial" w:cs="Arial" w:eastAsia="Arial" w:hAnsi="Arial"/>
                <w:b w:val="1"/>
                <w:bCs w:val="1"/>
                <w:i w:val="0"/>
                <w:iCs w:val="0"/>
                <w:smallCaps w:val="0"/>
                <w:strike w:val="0"/>
                <w:sz w:val="16.600000381469727"/>
                <w:szCs w:val="16.600000381469727"/>
                <w:u w:val="none"/>
                <w:shd w:fill="auto" w:val="clear"/>
                <w:vertAlign w:val="baseline"/>
              </w:rPr>
            </w:pPr>
            <w:r w:rsidDel="00000000" w:rsidR="00000000" w:rsidRPr="00000000">
              <w:rPr>
                <w:rFonts w:ascii="Arial" w:cs="Arial" w:eastAsia="Arial" w:hAnsi="Arial"/>
                <w:b w:val="1"/>
                <w:bCs w:val="1"/>
                <w:i w:val="0"/>
                <w:iCs w:val="0"/>
                <w:smallCaps w:val="0"/>
                <w:strike w:val="0"/>
                <w:sz w:val="16.600000381469727"/>
                <w:szCs w:val="16.600000381469727"/>
                <w:u w:val="none"/>
                <w:shd w:fill="auto" w:val="clear"/>
                <w:vertAlign w:val="baseline"/>
                <w:rtl w:val="0"/>
              </w:rPr>
              <w:t xml:space="preserve">Design </w:t>
            </w:r>
          </w:p>
        </w:tc>
        <w:tc>
          <w:tcPr>
            <w:shd w:fill="auto" w:val="clear"/>
            <w:tcMar>
              <w:top w:w="100.0" w:type="dxa"/>
              <w:left w:w="100.0" w:type="dxa"/>
              <w:bottom w:w="100.0" w:type="dxa"/>
              <w:right w:w="100.0" w:type="dxa"/>
            </w:tcMar>
            <w:vAlign w:val="top"/>
          </w:tcPr>
          <w:p w:rsidR="00000000" w:rsidDel="00000000" w:rsidP="00000000" w:rsidRDefault="00000000" w:rsidRPr="00000000" w14:paraId="000001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615966796875" w:right="0" w:firstLine="0"/>
              <w:jc w:val="left"/>
              <w:rPr>
                <w:rFonts w:ascii="Arial" w:cs="Arial" w:eastAsia="Arial" w:hAnsi="Arial"/>
                <w:b w:val="1"/>
                <w:bCs w:val="1"/>
                <w:i w:val="0"/>
                <w:iCs w:val="0"/>
                <w:smallCaps w:val="0"/>
                <w:strike w:val="0"/>
                <w:sz w:val="16.600000381469727"/>
                <w:szCs w:val="16.600000381469727"/>
                <w:u w:val="none"/>
                <w:shd w:fill="auto" w:val="clear"/>
                <w:vertAlign w:val="baseline"/>
              </w:rPr>
            </w:pPr>
            <w:r w:rsidDel="00000000" w:rsidR="00000000" w:rsidRPr="00000000">
              <w:rPr>
                <w:rFonts w:ascii="Arial" w:cs="Arial" w:eastAsia="Arial" w:hAnsi="Arial"/>
                <w:b w:val="1"/>
                <w:bCs w:val="1"/>
                <w:i w:val="0"/>
                <w:iCs w:val="0"/>
                <w:smallCaps w:val="0"/>
                <w:strike w:val="0"/>
                <w:sz w:val="16.600000381469727"/>
                <w:szCs w:val="16.600000381469727"/>
                <w:u w:val="none"/>
                <w:shd w:fill="auto" w:val="clear"/>
                <w:vertAlign w:val="baseline"/>
                <w:rtl w:val="0"/>
              </w:rPr>
              <w:t xml:space="preserve">Effect </w:t>
            </w:r>
          </w:p>
        </w:tc>
      </w:tr>
      <w:tr>
        <w:trPr>
          <w:cantSplit w:val="0"/>
          <w:trHeight w:val="575.99975585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3.760070800781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Periodontitis and cognitive </w:t>
            </w:r>
          </w:p>
          <w:p w:rsidR="00000000" w:rsidDel="00000000" w:rsidP="00000000" w:rsidRDefault="00000000" w:rsidRPr="00000000" w14:paraId="000001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939453125" w:line="240" w:lineRule="auto"/>
              <w:ind w:left="120.72006225585938"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impairment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1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231201171875" w:lineRule="auto"/>
              <w:ind w:left="115.11993408203125" w:right="90" w:firstLine="6.56005859375"/>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Meta-analysis, 20 observational studies</w:t>
            </w:r>
          </w:p>
        </w:tc>
        <w:tc>
          <w:tcPr>
            <w:shd w:fill="auto" w:val="clear"/>
            <w:tcMar>
              <w:top w:w="100.0" w:type="dxa"/>
              <w:left w:w="100.0" w:type="dxa"/>
              <w:bottom w:w="100.0" w:type="dxa"/>
              <w:right w:w="100.0" w:type="dxa"/>
            </w:tcMar>
            <w:vAlign w:val="top"/>
          </w:tcPr>
          <w:p w:rsidR="00000000" w:rsidDel="00000000" w:rsidP="00000000" w:rsidRDefault="00000000" w:rsidRPr="00000000" w14:paraId="000001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24023437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OR 1.77 (1.31-2.38) </w:t>
            </w:r>
          </w:p>
        </w:tc>
      </w:tr>
      <w:tr>
        <w:trPr>
          <w:cantSplit w:val="0"/>
          <w:trHeight w:val="575.99975585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231201171875" w:lineRule="auto"/>
              <w:ind w:left="115.11993408203125" w:right="482.80059814453125" w:firstLine="8.64013671875"/>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Periodontitis and dementia, all severities</w:t>
            </w:r>
          </w:p>
        </w:tc>
        <w:tc>
          <w:tcPr>
            <w:shd w:fill="auto" w:val="clear"/>
            <w:tcMar>
              <w:top w:w="100.0" w:type="dxa"/>
              <w:left w:w="100.0" w:type="dxa"/>
              <w:bottom w:w="100.0" w:type="dxa"/>
              <w:right w:w="100.0" w:type="dxa"/>
            </w:tcMar>
            <w:vAlign w:val="top"/>
          </w:tcPr>
          <w:p w:rsidR="00000000" w:rsidDel="00000000" w:rsidP="00000000" w:rsidRDefault="00000000" w:rsidRPr="00000000" w14:paraId="000001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7.83996582031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Same meta-analysis, 11 </w:t>
            </w:r>
          </w:p>
          <w:p w:rsidR="00000000" w:rsidDel="00000000" w:rsidP="00000000" w:rsidRDefault="00000000" w:rsidRPr="00000000" w14:paraId="000001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939453125" w:line="240" w:lineRule="auto"/>
              <w:ind w:left="115.119934082031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studies</w:t>
            </w:r>
          </w:p>
        </w:tc>
        <w:tc>
          <w:tcPr>
            <w:shd w:fill="auto" w:val="clear"/>
            <w:tcMar>
              <w:top w:w="100.0" w:type="dxa"/>
              <w:left w:w="100.0" w:type="dxa"/>
              <w:bottom w:w="100.0" w:type="dxa"/>
              <w:right w:w="100.0" w:type="dxa"/>
            </w:tcMar>
            <w:vAlign w:val="top"/>
          </w:tcPr>
          <w:p w:rsidR="00000000" w:rsidDel="00000000" w:rsidP="00000000" w:rsidRDefault="00000000" w:rsidRPr="00000000" w14:paraId="000001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24023437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OR 1.59 (0.92-2.76) — not </w:t>
            </w:r>
          </w:p>
          <w:p w:rsidR="00000000" w:rsidDel="00000000" w:rsidP="00000000" w:rsidRDefault="00000000" w:rsidRPr="00000000" w14:paraId="000001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939453125" w:line="240" w:lineRule="auto"/>
              <w:ind w:left="115.12023925781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significant</w:t>
            </w:r>
          </w:p>
        </w:tc>
      </w:tr>
      <w:tr>
        <w:trPr>
          <w:cantSplit w:val="0"/>
          <w:trHeight w:val="575.99975585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23185920715332" w:lineRule="auto"/>
              <w:ind w:left="115.5999755859375" w:right="207.12066650390625" w:firstLine="6.08001708984375"/>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Moderate/severe periodontitis and dementia</w:t>
            </w:r>
          </w:p>
        </w:tc>
        <w:tc>
          <w:tcPr>
            <w:shd w:fill="auto" w:val="clear"/>
            <w:tcMar>
              <w:top w:w="100.0" w:type="dxa"/>
              <w:left w:w="100.0" w:type="dxa"/>
              <w:bottom w:w="100.0" w:type="dxa"/>
              <w:right w:w="100.0" w:type="dxa"/>
            </w:tcMar>
            <w:vAlign w:val="top"/>
          </w:tcPr>
          <w:p w:rsidR="00000000" w:rsidDel="00000000" w:rsidP="00000000" w:rsidRDefault="00000000" w:rsidRPr="00000000" w14:paraId="000001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7.83996582031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Subgroup </w:t>
            </w:r>
          </w:p>
        </w:tc>
        <w:tc>
          <w:tcPr>
            <w:shd w:fill="auto" w:val="clear"/>
            <w:tcMar>
              <w:top w:w="100.0" w:type="dxa"/>
              <w:left w:w="100.0" w:type="dxa"/>
              <w:bottom w:w="100.0" w:type="dxa"/>
              <w:right w:w="100.0" w:type="dxa"/>
            </w:tcMar>
            <w:vAlign w:val="top"/>
          </w:tcPr>
          <w:p w:rsidR="00000000" w:rsidDel="00000000" w:rsidP="00000000" w:rsidRDefault="00000000" w:rsidRPr="00000000" w14:paraId="000001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24023437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OR 2.13 (1.25-3.64) </w:t>
            </w:r>
          </w:p>
        </w:tc>
      </w:tr>
      <w:tr>
        <w:trPr>
          <w:cantSplit w:val="0"/>
          <w:trHeight w:val="576.00036621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3.760070800781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Periodontal disease and dementia </w:t>
            </w:r>
          </w:p>
        </w:tc>
        <w:tc>
          <w:tcPr>
            <w:shd w:fill="auto" w:val="clear"/>
            <w:tcMar>
              <w:top w:w="100.0" w:type="dxa"/>
              <w:left w:w="100.0" w:type="dxa"/>
              <w:bottom w:w="100.0" w:type="dxa"/>
              <w:right w:w="100.0" w:type="dxa"/>
            </w:tcMar>
            <w:vAlign w:val="top"/>
          </w:tcPr>
          <w:p w:rsidR="00000000" w:rsidDel="00000000" w:rsidP="00000000" w:rsidRDefault="00000000" w:rsidRPr="00000000" w14:paraId="000001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7.83996582031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Systematic review, 46 records </w:t>
            </w:r>
          </w:p>
        </w:tc>
        <w:tc>
          <w:tcPr>
            <w:shd w:fill="auto" w:val="clear"/>
            <w:tcMar>
              <w:top w:w="100.0" w:type="dxa"/>
              <w:left w:w="100.0" w:type="dxa"/>
              <w:bottom w:w="100.0" w:type="dxa"/>
              <w:right w:w="100.0" w:type="dxa"/>
            </w:tcMar>
            <w:vAlign w:val="top"/>
          </w:tcPr>
          <w:p w:rsidR="00000000" w:rsidDel="00000000" w:rsidP="00000000" w:rsidRDefault="00000000" w:rsidRPr="00000000" w14:paraId="000001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4.08020019531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RR 1.22 (1.10-1.36) </w:t>
            </w:r>
          </w:p>
        </w:tc>
      </w:tr>
      <w:tr>
        <w:trPr>
          <w:cantSplit w:val="0"/>
          <w:trHeight w:val="575.99975585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3.760070800781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Periodontal disease and dementia </w:t>
            </w:r>
          </w:p>
        </w:tc>
        <w:tc>
          <w:tcPr>
            <w:shd w:fill="auto" w:val="clear"/>
            <w:tcMar>
              <w:top w:w="100.0" w:type="dxa"/>
              <w:left w:w="100.0" w:type="dxa"/>
              <w:bottom w:w="100.0" w:type="dxa"/>
              <w:right w:w="100.0" w:type="dxa"/>
            </w:tcMar>
            <w:vAlign w:val="top"/>
          </w:tcPr>
          <w:p w:rsidR="00000000" w:rsidDel="00000000" w:rsidP="00000000" w:rsidRDefault="00000000" w:rsidRPr="00000000" w14:paraId="000001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23185920715332" w:lineRule="auto"/>
              <w:ind w:left="111.75994873046875" w:right="230.0006103515625" w:firstLine="4.16015625"/>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7 cohorts, 226,628 patients, 8 yrs</w:t>
            </w:r>
          </w:p>
        </w:tc>
        <w:tc>
          <w:tcPr>
            <w:shd w:fill="auto" w:val="clear"/>
            <w:tcMar>
              <w:top w:w="100.0" w:type="dxa"/>
              <w:left w:w="100.0" w:type="dxa"/>
              <w:bottom w:w="100.0" w:type="dxa"/>
              <w:right w:w="100.0" w:type="dxa"/>
            </w:tcMar>
            <w:vAlign w:val="top"/>
          </w:tcPr>
          <w:p w:rsidR="00000000" w:rsidDel="00000000" w:rsidP="00000000" w:rsidRDefault="00000000" w:rsidRPr="00000000" w14:paraId="000001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4.08020019531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RR 1.38 (1.01-1.90) </w:t>
            </w:r>
          </w:p>
        </w:tc>
      </w:tr>
      <w:tr>
        <w:trPr>
          <w:cantSplit w:val="0"/>
          <w:trHeight w:val="784.00024414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2399291992187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Oral-hygiene behaviors </w:t>
            </w:r>
          </w:p>
        </w:tc>
        <w:tc>
          <w:tcPr>
            <w:shd w:fill="auto" w:val="clear"/>
            <w:tcMar>
              <w:top w:w="100.0" w:type="dxa"/>
              <w:left w:w="100.0" w:type="dxa"/>
              <w:bottom w:w="100.0" w:type="dxa"/>
              <w:right w:w="100.0" w:type="dxa"/>
            </w:tcMar>
            <w:vAlign w:val="top"/>
          </w:tcPr>
          <w:p w:rsidR="00000000" w:rsidDel="00000000" w:rsidP="00000000" w:rsidRDefault="00000000" w:rsidRPr="00000000" w14:paraId="000001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8 studies, 261,772 participants </w:t>
            </w:r>
          </w:p>
        </w:tc>
        <w:tc>
          <w:tcPr>
            <w:shd w:fill="auto" w:val="clear"/>
            <w:tcMar>
              <w:top w:w="100.0" w:type="dxa"/>
              <w:left w:w="100.0" w:type="dxa"/>
              <w:bottom w:w="100.0" w:type="dxa"/>
              <w:right w:w="100.0" w:type="dxa"/>
            </w:tcMar>
            <w:vAlign w:val="top"/>
          </w:tcPr>
          <w:p w:rsidR="00000000" w:rsidDel="00000000" w:rsidP="00000000" w:rsidRDefault="00000000" w:rsidRPr="00000000" w14:paraId="000001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2.1255397796631" w:lineRule="auto"/>
              <w:ind w:left="115.5999755859375" w:right="358.3203125" w:hanging="3.3599853515625"/>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Toothbrushing linked to slower decline; flossing/mouthwash not linked</w:t>
            </w:r>
          </w:p>
        </w:tc>
      </w:tr>
    </w:tbl>
    <w:p w:rsidR="00000000" w:rsidDel="00000000" w:rsidP="00000000" w:rsidRDefault="00000000" w:rsidRPr="00000000" w14:paraId="000001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9.88402366638184" w:lineRule="auto"/>
        <w:ind w:left="66.00006103515625" w:right="440.401611328125" w:hanging="5.200042724609375"/>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An umbrella review of 8 reviews found poor oral health — plaque, gingival bleeding, periodontal disease — consistently associated with worse cognitive outcomes, though no trial shows that treating gum disease changes cognition. The practical takeaway: normal dental hygiene and regular cleanings are a reasonable, low-cost, low-risk addition to this protocol.</w:t>
      </w:r>
    </w:p>
    <w:p w:rsidR="00000000" w:rsidDel="00000000" w:rsidP="00000000" w:rsidRDefault="00000000" w:rsidRPr="00000000" w14:paraId="000001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3.19999694824219" w:right="0" w:firstLine="0"/>
        <w:jc w:val="left"/>
        <w:rPr>
          <w:rFonts w:ascii="Arial" w:cs="Arial" w:eastAsia="Arial" w:hAnsi="Arial"/>
          <w:b w:val="1"/>
          <w:bCs w:val="1"/>
          <w:i w:val="0"/>
          <w:iCs w:val="0"/>
          <w:smallCaps w:val="0"/>
          <w:strike w:val="0"/>
          <w:color w:val="0f6b5c"/>
          <w:sz w:val="26"/>
          <w:szCs w:val="26"/>
          <w:u w:val="none"/>
          <w:shd w:fill="auto" w:val="clear"/>
          <w:vertAlign w:val="baseline"/>
        </w:rPr>
      </w:pPr>
      <w:r w:rsidDel="00000000" w:rsidR="00000000" w:rsidRPr="00000000">
        <w:rPr>
          <w:rFonts w:ascii="Arial" w:cs="Arial" w:eastAsia="Arial" w:hAnsi="Arial"/>
          <w:b w:val="1"/>
          <w:bCs w:val="1"/>
          <w:i w:val="0"/>
          <w:iCs w:val="0"/>
          <w:smallCaps w:val="0"/>
          <w:strike w:val="0"/>
          <w:color w:val="0f6b5c"/>
          <w:sz w:val="26"/>
          <w:szCs w:val="26"/>
          <w:u w:val="none"/>
          <w:shd w:fill="auto" w:val="clear"/>
          <w:vertAlign w:val="baseline"/>
          <w:rtl w:val="0"/>
        </w:rPr>
        <w:t xml:space="preserve">Air Pollution </w:t>
      </w:r>
    </w:p>
    <w:p w:rsidR="00000000" w:rsidDel="00000000" w:rsidP="00000000" w:rsidRDefault="00000000" w:rsidRPr="00000000" w14:paraId="000001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6.57958984375" w:line="289.88402366638184" w:lineRule="auto"/>
        <w:ind w:left="60.800018310546875" w:right="96.602783203125" w:hanging="2.3999786376953125"/>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Air pollution is a Lancet risk factor with relative risk 1.1 and a 3% weighted PAF. A systematic review of 28 longitudinal cohorts found a minimum 14% increased dementia risk across fine-particle (PM2.5) levels of 4.5 to 26.9 µg/m³ versus a 2.0 reference — though the authors rated their own confidence at two stars out of five for dementia, and vascular dementia showed no significant association. Modeling attributes roughly 3% of global dementia cases, about 1.65 million, to air pollution. </w:t>
      </w:r>
    </w:p>
    <w:p w:rsidR="00000000" w:rsidDel="00000000" w:rsidP="00000000" w:rsidRDefault="00000000" w:rsidRPr="00000000" w14:paraId="000001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5.030517578125" w:line="289.88402366638184" w:lineRule="auto"/>
        <w:ind w:left="71.00006103515625" w:right="218.802490234375" w:hanging="10.200042724609375"/>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Two nuances worth knowing. Living within 50 meters of a major road versus more than 300 meters carried a hazard ratio of 1.07 in about 2.2 million Ontario adults — real, but very small. And wildfire-specific PM2.5 was not significantly associated with dementia in 1.2 million Kaiser Permanente members, while ordinary non-wildfire PM2.5 was. </w:t>
      </w:r>
    </w:p>
    <w:p w:rsidR="00000000" w:rsidDel="00000000" w:rsidP="00000000" w:rsidRDefault="00000000" w:rsidRPr="00000000" w14:paraId="000001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5.030517578125" w:line="289.88402366638184" w:lineRule="auto"/>
        <w:ind w:left="65" w:right="38.00048828125" w:hanging="4.199981689453125"/>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 brain-tissue study of 602 donated brains found that for every 1 µg/m³ increase in lifetime-average PM2.5, researchers observed 19% higher odds of more severe overall Alzheimer's pathology, 17% higher odds of more amyloid buildup, and 20% higher odds of worse tau pathology and amyloid plaque burden, plus 16% higher odds of a large brain infarct. Importantly, "19% higher odds" describes a shift in the odds of a more severe pathology category among the people studied — not a 19% higher chance of getting Alzheimer's. Among roughly 287 people with detailed cognitive testing, higher pollution exposure was also linked to worse memory and daily function, and about 63% of that link was statistically explained by increased Alzheimer's brain pathology. </w:t>
      </w:r>
    </w:p>
    <w:p w:rsidR="00000000" w:rsidDel="00000000" w:rsidP="00000000" w:rsidRDefault="00000000" w:rsidRPr="00000000" w14:paraId="000001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5.0299072265625" w:line="289.88402366638184" w:lineRule="auto"/>
        <w:ind w:left="69.60006713867188" w:right="229.60205078125" w:firstLine="3.5999298095703125"/>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Practical action: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 bedroom HEPA filter and good kitchen ventilation are low-cost, low-risk, and have proven benefits for respiratory health even though the dementia-specific effect size is small. </w:t>
      </w:r>
    </w:p>
    <w:p w:rsidR="00000000" w:rsidDel="00000000" w:rsidP="00000000" w:rsidRDefault="00000000" w:rsidRPr="00000000" w14:paraId="000001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5.0299072265625" w:line="240" w:lineRule="auto"/>
        <w:ind w:left="77.760009765625" w:right="0" w:firstLine="0"/>
        <w:jc w:val="left"/>
        <w:rPr>
          <w:rFonts w:ascii="Arial" w:cs="Arial" w:eastAsia="Arial" w:hAnsi="Arial"/>
          <w:b w:val="1"/>
          <w:bCs w:val="1"/>
          <w:i w:val="0"/>
          <w:iCs w:val="0"/>
          <w:smallCaps w:val="0"/>
          <w:strike w:val="0"/>
          <w:color w:val="0f6b5c"/>
          <w:sz w:val="26"/>
          <w:szCs w:val="26"/>
          <w:u w:val="none"/>
          <w:shd w:fill="auto" w:val="clear"/>
          <w:vertAlign w:val="baseline"/>
        </w:rPr>
      </w:pPr>
      <w:r w:rsidDel="00000000" w:rsidR="00000000" w:rsidRPr="00000000">
        <w:rPr>
          <w:rFonts w:ascii="Arial" w:cs="Arial" w:eastAsia="Arial" w:hAnsi="Arial"/>
          <w:b w:val="1"/>
          <w:bCs w:val="1"/>
          <w:i w:val="0"/>
          <w:iCs w:val="0"/>
          <w:smallCaps w:val="0"/>
          <w:strike w:val="0"/>
          <w:color w:val="0f6b5c"/>
          <w:sz w:val="26"/>
          <w:szCs w:val="26"/>
          <w:u w:val="none"/>
          <w:shd w:fill="auto" w:val="clear"/>
          <w:vertAlign w:val="baseline"/>
          <w:rtl w:val="0"/>
        </w:rPr>
        <w:t xml:space="preserve">Pesticides, Solvents, and Heavy Metals </w:t>
      </w:r>
    </w:p>
    <w:tbl>
      <w:tblPr>
        <w:tblStyle w:val="Table12"/>
        <w:tblW w:w="8064.000091552734" w:type="dxa"/>
        <w:jc w:val="left"/>
        <w:tblInd w:w="216.00006103515625"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448.000030517578"/>
        <w:gridCol w:w="2736.0000610351562"/>
        <w:gridCol w:w="2880"/>
        <w:tblGridChange w:id="0">
          <w:tblGrid>
            <w:gridCol w:w="2448.000030517578"/>
            <w:gridCol w:w="2736.0000610351562"/>
            <w:gridCol w:w="2880"/>
          </w:tblGrid>
        </w:tblGridChange>
      </w:tblGrid>
      <w:tr>
        <w:trPr>
          <w:cantSplit w:val="0"/>
          <w:trHeight w:val="368.0004882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615966796875" w:right="0" w:firstLine="0"/>
              <w:jc w:val="left"/>
              <w:rPr>
                <w:rFonts w:ascii="Arial" w:cs="Arial" w:eastAsia="Arial" w:hAnsi="Arial"/>
                <w:b w:val="1"/>
                <w:bCs w:val="1"/>
                <w:i w:val="0"/>
                <w:iCs w:val="0"/>
                <w:smallCaps w:val="0"/>
                <w:strike w:val="0"/>
                <w:sz w:val="16.600000381469727"/>
                <w:szCs w:val="16.600000381469727"/>
                <w:u w:val="none"/>
                <w:shd w:fill="auto" w:val="clear"/>
                <w:vertAlign w:val="baseline"/>
              </w:rPr>
            </w:pPr>
            <w:r w:rsidDel="00000000" w:rsidR="00000000" w:rsidRPr="00000000">
              <w:rPr>
                <w:rFonts w:ascii="Arial" w:cs="Arial" w:eastAsia="Arial" w:hAnsi="Arial"/>
                <w:b w:val="1"/>
                <w:bCs w:val="1"/>
                <w:i w:val="0"/>
                <w:iCs w:val="0"/>
                <w:smallCaps w:val="0"/>
                <w:strike w:val="0"/>
                <w:sz w:val="16.600000381469727"/>
                <w:szCs w:val="16.600000381469727"/>
                <w:u w:val="none"/>
                <w:shd w:fill="auto" w:val="clear"/>
                <w:vertAlign w:val="baseline"/>
                <w:rtl w:val="0"/>
              </w:rPr>
              <w:t xml:space="preserve">Exposure </w:t>
            </w:r>
          </w:p>
        </w:tc>
        <w:tc>
          <w:tcPr>
            <w:shd w:fill="auto" w:val="clear"/>
            <w:tcMar>
              <w:top w:w="100.0" w:type="dxa"/>
              <w:left w:w="100.0" w:type="dxa"/>
              <w:bottom w:w="100.0" w:type="dxa"/>
              <w:right w:w="100.0" w:type="dxa"/>
            </w:tcMar>
            <w:vAlign w:val="top"/>
          </w:tcPr>
          <w:p w:rsidR="00000000" w:rsidDel="00000000" w:rsidP="00000000" w:rsidRDefault="00000000" w:rsidRPr="00000000" w14:paraId="000001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615966796875" w:right="0" w:firstLine="0"/>
              <w:jc w:val="left"/>
              <w:rPr>
                <w:rFonts w:ascii="Arial" w:cs="Arial" w:eastAsia="Arial" w:hAnsi="Arial"/>
                <w:b w:val="1"/>
                <w:bCs w:val="1"/>
                <w:i w:val="0"/>
                <w:iCs w:val="0"/>
                <w:smallCaps w:val="0"/>
                <w:strike w:val="0"/>
                <w:sz w:val="16.600000381469727"/>
                <w:szCs w:val="16.600000381469727"/>
                <w:u w:val="none"/>
                <w:shd w:fill="auto" w:val="clear"/>
                <w:vertAlign w:val="baseline"/>
              </w:rPr>
            </w:pPr>
            <w:r w:rsidDel="00000000" w:rsidR="00000000" w:rsidRPr="00000000">
              <w:rPr>
                <w:rFonts w:ascii="Arial" w:cs="Arial" w:eastAsia="Arial" w:hAnsi="Arial"/>
                <w:b w:val="1"/>
                <w:bCs w:val="1"/>
                <w:i w:val="0"/>
                <w:iCs w:val="0"/>
                <w:smallCaps w:val="0"/>
                <w:strike w:val="0"/>
                <w:sz w:val="16.600000381469727"/>
                <w:szCs w:val="16.600000381469727"/>
                <w:u w:val="none"/>
                <w:shd w:fill="auto" w:val="clear"/>
                <w:vertAlign w:val="baseline"/>
                <w:rtl w:val="0"/>
              </w:rPr>
              <w:t xml:space="preserve">Evidence </w:t>
            </w:r>
          </w:p>
        </w:tc>
        <w:tc>
          <w:tcPr>
            <w:shd w:fill="auto" w:val="clear"/>
            <w:tcMar>
              <w:top w:w="100.0" w:type="dxa"/>
              <w:left w:w="100.0" w:type="dxa"/>
              <w:bottom w:w="100.0" w:type="dxa"/>
              <w:right w:w="100.0" w:type="dxa"/>
            </w:tcMar>
            <w:vAlign w:val="top"/>
          </w:tcPr>
          <w:p w:rsidR="00000000" w:rsidDel="00000000" w:rsidP="00000000" w:rsidRDefault="00000000" w:rsidRPr="00000000" w14:paraId="000001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615966796875" w:right="0" w:firstLine="0"/>
              <w:jc w:val="left"/>
              <w:rPr>
                <w:rFonts w:ascii="Arial" w:cs="Arial" w:eastAsia="Arial" w:hAnsi="Arial"/>
                <w:b w:val="1"/>
                <w:bCs w:val="1"/>
                <w:i w:val="0"/>
                <w:iCs w:val="0"/>
                <w:smallCaps w:val="0"/>
                <w:strike w:val="0"/>
                <w:sz w:val="16.600000381469727"/>
                <w:szCs w:val="16.600000381469727"/>
                <w:u w:val="none"/>
                <w:shd w:fill="auto" w:val="clear"/>
                <w:vertAlign w:val="baseline"/>
              </w:rPr>
            </w:pPr>
            <w:r w:rsidDel="00000000" w:rsidR="00000000" w:rsidRPr="00000000">
              <w:rPr>
                <w:rFonts w:ascii="Arial" w:cs="Arial" w:eastAsia="Arial" w:hAnsi="Arial"/>
                <w:b w:val="1"/>
                <w:bCs w:val="1"/>
                <w:i w:val="0"/>
                <w:iCs w:val="0"/>
                <w:smallCaps w:val="0"/>
                <w:strike w:val="0"/>
                <w:sz w:val="16.600000381469727"/>
                <w:szCs w:val="16.600000381469727"/>
                <w:u w:val="none"/>
                <w:shd w:fill="auto" w:val="clear"/>
                <w:vertAlign w:val="baseline"/>
                <w:rtl w:val="0"/>
              </w:rPr>
              <w:t xml:space="preserve">Effect </w:t>
            </w:r>
          </w:p>
        </w:tc>
      </w:tr>
      <w:tr>
        <w:trPr>
          <w:cantSplit w:val="0"/>
          <w:trHeight w:val="575.99975585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3.760070800781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Pesticides and Alzheimer's </w:t>
            </w:r>
          </w:p>
        </w:tc>
        <w:tc>
          <w:tcPr>
            <w:shd w:fill="auto" w:val="clear"/>
            <w:tcMar>
              <w:top w:w="100.0" w:type="dxa"/>
              <w:left w:w="100.0" w:type="dxa"/>
              <w:bottom w:w="100.0" w:type="dxa"/>
              <w:right w:w="100.0" w:type="dxa"/>
            </w:tcMar>
            <w:vAlign w:val="top"/>
          </w:tcPr>
          <w:p w:rsidR="00000000" w:rsidDel="00000000" w:rsidP="00000000" w:rsidRDefault="00000000" w:rsidRPr="00000000" w14:paraId="000001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23185920715332" w:lineRule="auto"/>
              <w:ind w:left="119.28009033203125" w:right="420.560302734375" w:firstLine="2.39990234375"/>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Meta-analysis, 7 studies, 6,835 people, 1,050 cases</w:t>
            </w:r>
          </w:p>
        </w:tc>
        <w:tc>
          <w:tcPr>
            <w:shd w:fill="auto" w:val="clear"/>
            <w:tcMar>
              <w:top w:w="100.0" w:type="dxa"/>
              <w:left w:w="100.0" w:type="dxa"/>
              <w:bottom w:w="100.0" w:type="dxa"/>
              <w:right w:w="100.0" w:type="dxa"/>
            </w:tcMar>
            <w:vAlign w:val="top"/>
          </w:tcPr>
          <w:p w:rsidR="00000000" w:rsidDel="00000000" w:rsidP="00000000" w:rsidRDefault="00000000" w:rsidRPr="00000000" w14:paraId="000001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23185920715332" w:lineRule="auto"/>
              <w:ind w:left="115.1202392578125" w:right="297.840576171875" w:firstLine="1.1199951171875"/>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OR 1.34 (1.08-1.67); higher-quality studies OR 1.42</w:t>
            </w:r>
          </w:p>
        </w:tc>
      </w:tr>
      <w:tr>
        <w:trPr>
          <w:cantSplit w:val="0"/>
          <w:trHeight w:val="783.999633789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160034179687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Nearby agricultural </w:t>
            </w:r>
          </w:p>
          <w:p w:rsidR="00000000" w:rsidDel="00000000" w:rsidP="00000000" w:rsidRDefault="00000000" w:rsidRPr="00000000" w14:paraId="000001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9400634765625" w:line="240" w:lineRule="auto"/>
              <w:ind w:left="115.599975585937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organophosphates</w:t>
            </w:r>
          </w:p>
        </w:tc>
        <w:tc>
          <w:tcPr>
            <w:shd w:fill="auto" w:val="clear"/>
            <w:tcMar>
              <w:top w:w="100.0" w:type="dxa"/>
              <w:left w:w="100.0" w:type="dxa"/>
              <w:bottom w:w="100.0" w:type="dxa"/>
              <w:right w:w="100.0" w:type="dxa"/>
            </w:tcMar>
            <w:vAlign w:val="top"/>
          </w:tcPr>
          <w:p w:rsidR="00000000" w:rsidDel="00000000" w:rsidP="00000000" w:rsidRDefault="00000000" w:rsidRPr="00000000" w14:paraId="000001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23185920715332" w:lineRule="auto"/>
              <w:ind w:left="111.75994873046875" w:right="451.4404296875" w:firstLine="12.0001220703125"/>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Prospective cohort, n=430, 6.5 years</w:t>
            </w:r>
          </w:p>
        </w:tc>
        <w:tc>
          <w:tcPr>
            <w:shd w:fill="auto" w:val="clear"/>
            <w:tcMar>
              <w:top w:w="100.0" w:type="dxa"/>
              <w:left w:w="100.0" w:type="dxa"/>
              <w:bottom w:w="100.0" w:type="dxa"/>
              <w:right w:w="100.0" w:type="dxa"/>
            </w:tcMar>
            <w:vAlign w:val="top"/>
          </w:tcPr>
          <w:p w:rsidR="00000000" w:rsidDel="00000000" w:rsidP="00000000" w:rsidRDefault="00000000" w:rsidRPr="00000000" w14:paraId="000001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2.1255397796631" w:lineRule="auto"/>
              <w:ind w:left="115.1202392578125" w:right="311.12060546875" w:firstLine="8.6395263671875"/>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Faster cognitive decline (p=0.021); dementia HR 1.94 (0.75-5.03, not significant)</w:t>
            </w:r>
          </w:p>
        </w:tc>
      </w:tr>
      <w:tr>
        <w:trPr>
          <w:cantSplit w:val="0"/>
          <w:trHeight w:val="576.00036621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7.83996582031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Solvents and </w:t>
            </w:r>
          </w:p>
          <w:p w:rsidR="00000000" w:rsidDel="00000000" w:rsidP="00000000" w:rsidRDefault="00000000" w:rsidRPr="00000000" w14:paraId="000001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9400634765625"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small-vessel/vascular dementia</w:t>
            </w:r>
          </w:p>
        </w:tc>
        <w:tc>
          <w:tcPr>
            <w:shd w:fill="auto" w:val="clear"/>
            <w:tcMar>
              <w:top w:w="100.0" w:type="dxa"/>
              <w:left w:w="100.0" w:type="dxa"/>
              <w:bottom w:w="100.0" w:type="dxa"/>
              <w:right w:w="100.0" w:type="dxa"/>
            </w:tcMar>
            <w:vAlign w:val="top"/>
          </w:tcPr>
          <w:p w:rsidR="00000000" w:rsidDel="00000000" w:rsidP="00000000" w:rsidRDefault="00000000" w:rsidRPr="00000000" w14:paraId="000001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23185920715332" w:lineRule="auto"/>
              <w:ind w:left="113.99993896484375" w:right="162.80029296875" w:firstLine="3.84002685546875"/>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Systematic review, 85 populations, 47,743 people</w:t>
            </w:r>
          </w:p>
        </w:tc>
        <w:tc>
          <w:tcPr>
            <w:shd w:fill="auto" w:val="clear"/>
            <w:tcMar>
              <w:top w:w="100.0" w:type="dxa"/>
              <w:left w:w="100.0" w:type="dxa"/>
              <w:bottom w:w="100.0" w:type="dxa"/>
              <w:right w:w="100.0" w:type="dxa"/>
            </w:tcMar>
            <w:vAlign w:val="top"/>
          </w:tcPr>
          <w:p w:rsidR="00000000" w:rsidDel="00000000" w:rsidP="00000000" w:rsidRDefault="00000000" w:rsidRPr="00000000" w14:paraId="000001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23185920715332" w:lineRule="auto"/>
              <w:ind w:left="116.400146484375" w:right="270.9600830078125" w:firstLine="7.359619140625"/>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Pooled effect on vascular dementia could not be confirmed</w:t>
            </w:r>
          </w:p>
        </w:tc>
      </w:tr>
      <w:tr>
        <w:trPr>
          <w:cantSplit w:val="0"/>
          <w:trHeight w:val="991.9998168945312"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23999023437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Aluminum </w:t>
            </w:r>
          </w:p>
        </w:tc>
        <w:tc>
          <w:tcPr>
            <w:shd w:fill="auto" w:val="clear"/>
            <w:tcMar>
              <w:top w:w="100.0" w:type="dxa"/>
              <w:left w:w="100.0" w:type="dxa"/>
              <w:bottom w:w="100.0" w:type="dxa"/>
              <w:right w:w="100.0" w:type="dxa"/>
            </w:tcMar>
            <w:vAlign w:val="top"/>
          </w:tcPr>
          <w:p w:rsidR="00000000" w:rsidDel="00000000" w:rsidP="00000000" w:rsidRDefault="00000000" w:rsidRPr="00000000" w14:paraId="000001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31994628906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Historical review of animal, </w:t>
            </w:r>
          </w:p>
          <w:p w:rsidR="00000000" w:rsidDel="00000000" w:rsidP="00000000" w:rsidRDefault="00000000" w:rsidRPr="00000000" w14:paraId="000001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94036865234375" w:line="240" w:lineRule="auto"/>
              <w:ind w:left="119.280090332031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brain-tissue, and dialysis data</w:t>
            </w:r>
          </w:p>
        </w:tc>
        <w:tc>
          <w:tcPr>
            <w:shd w:fill="auto" w:val="clear"/>
            <w:tcMar>
              <w:top w:w="100.0" w:type="dxa"/>
              <w:left w:w="100.0" w:type="dxa"/>
              <w:bottom w:w="100.0" w:type="dxa"/>
              <w:right w:w="100.0" w:type="dxa"/>
            </w:tcMar>
            <w:vAlign w:val="top"/>
          </w:tcPr>
          <w:p w:rsidR="00000000" w:rsidDel="00000000" w:rsidP="00000000" w:rsidRDefault="00000000" w:rsidRPr="00000000" w14:paraId="000001A8">
            <w:pPr>
              <w:spacing w:line="240" w:lineRule="auto"/>
              <w:rPr>
                <w:sz w:val="16"/>
                <w:szCs w:val="16"/>
                <w:vertAlign w:val="baseline"/>
              </w:rPr>
            </w:pPr>
            <w:r w:rsidDel="00000000" w:rsidR="00000000" w:rsidRPr="00000000">
              <w:rPr>
                <w:sz w:val="16"/>
                <w:szCs w:val="16"/>
                <w:rtl w:val="0"/>
              </w:rPr>
              <w:t xml:space="preserve">The role of aluminum in Alzheimer's disease remains contentious </w:t>
            </w:r>
            <w:r w:rsidDel="00000000" w:rsidR="00000000" w:rsidRPr="00000000">
              <w:rPr>
                <w:rtl w:val="0"/>
              </w:rPr>
            </w:r>
          </w:p>
        </w:tc>
      </w:tr>
    </w:tbl>
    <w:p w:rsidR="00000000" w:rsidDel="00000000" w:rsidP="00000000" w:rsidRDefault="00000000" w:rsidRPr="00000000" w14:paraId="000001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9.88402366638184" w:lineRule="auto"/>
        <w:ind w:left="64.4000244140625" w:right="207.203369140625" w:firstLine="1.399993896484375"/>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On lead, official guidance is clear and actionable: there is no known safe blood-lead level in children, the drinking-water action level is 15 parts per billion, a home water test costs $20-$100, and boiling does not remove lead — use only cold water for drinking and cooking, filtered if your home has pre-1986 plumbing or a private well. For mercury, the FDA and EPA advise 2-3 servings a week from the "Best Choices" fish list; for self-caught fish with no local advisory, limit to one serving weekly. </w:t>
      </w:r>
    </w:p>
    <w:p w:rsidR="00000000" w:rsidDel="00000000" w:rsidP="00000000" w:rsidRDefault="00000000" w:rsidRPr="00000000" w14:paraId="000001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5.0299072265625" w:line="289.88402366638184" w:lineRule="auto"/>
        <w:ind w:left="69.60006713867188" w:right="375.40283203125" w:firstLine="3.5999298095703125"/>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Practical actions: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follow the fish guidance, wash produce, cut household pesticide use, ventilate and wear protection when using solvents rather than planning to "detox" later, and test tap water if you have pre-1986 plumbing or a private well.</w:t>
      </w:r>
    </w:p>
    <w:p w:rsidR="00000000" w:rsidDel="00000000" w:rsidP="00000000" w:rsidRDefault="00000000" w:rsidRPr="00000000" w14:paraId="000001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9.44000244140625" w:right="0" w:firstLine="0"/>
        <w:jc w:val="left"/>
        <w:rPr>
          <w:rFonts w:ascii="Arial" w:cs="Arial" w:eastAsia="Arial" w:hAnsi="Arial"/>
          <w:b w:val="1"/>
          <w:bCs w:val="1"/>
          <w:i w:val="0"/>
          <w:iCs w:val="0"/>
          <w:smallCaps w:val="0"/>
          <w:strike w:val="0"/>
          <w:color w:val="0f6b5c"/>
          <w:sz w:val="26"/>
          <w:szCs w:val="26"/>
          <w:u w:val="none"/>
          <w:shd w:fill="auto" w:val="clear"/>
          <w:vertAlign w:val="baseline"/>
        </w:rPr>
      </w:pPr>
      <w:r w:rsidDel="00000000" w:rsidR="00000000" w:rsidRPr="00000000">
        <w:rPr>
          <w:rFonts w:ascii="Arial" w:cs="Arial" w:eastAsia="Arial" w:hAnsi="Arial"/>
          <w:b w:val="1"/>
          <w:bCs w:val="1"/>
          <w:i w:val="0"/>
          <w:iCs w:val="0"/>
          <w:smallCaps w:val="0"/>
          <w:strike w:val="0"/>
          <w:color w:val="0f6b5c"/>
          <w:sz w:val="26"/>
          <w:szCs w:val="26"/>
          <w:u w:val="none"/>
          <w:shd w:fill="auto" w:val="clear"/>
          <w:vertAlign w:val="baseline"/>
          <w:rtl w:val="0"/>
        </w:rPr>
        <w:t xml:space="preserve">Chronic Infections and Vaccines </w:t>
      </w:r>
    </w:p>
    <w:p w:rsidR="00000000" w:rsidDel="00000000" w:rsidP="00000000" w:rsidRDefault="00000000" w:rsidRPr="00000000" w14:paraId="000001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6.57958984375" w:line="289.88402366638184" w:lineRule="auto"/>
        <w:ind w:left="73.40003967285156" w:right="619.20166015625" w:hanging="0.800018310546875"/>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Much of this evidence comes from natural experiments — real-world situations where something close to random assignment happened by accident, such as a vaccine eligibility cutoff based on birth date. </w:t>
      </w:r>
    </w:p>
    <w:tbl>
      <w:tblPr>
        <w:tblStyle w:val="Table13"/>
        <w:tblW w:w="8064.000091552734" w:type="dxa"/>
        <w:jc w:val="left"/>
        <w:tblInd w:w="216.00006103515625"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448.000030517578"/>
        <w:gridCol w:w="2448.0001831054688"/>
        <w:gridCol w:w="3167.9998779296875"/>
        <w:tblGridChange w:id="0">
          <w:tblGrid>
            <w:gridCol w:w="2448.000030517578"/>
            <w:gridCol w:w="2448.0001831054688"/>
            <w:gridCol w:w="3167.9998779296875"/>
          </w:tblGrid>
        </w:tblGridChange>
      </w:tblGrid>
      <w:tr>
        <w:trPr>
          <w:cantSplit w:val="0"/>
          <w:trHeight w:val="368.0004882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615966796875" w:right="0" w:firstLine="0"/>
              <w:jc w:val="left"/>
              <w:rPr>
                <w:rFonts w:ascii="Arial" w:cs="Arial" w:eastAsia="Arial" w:hAnsi="Arial"/>
                <w:b w:val="1"/>
                <w:bCs w:val="1"/>
                <w:i w:val="0"/>
                <w:iCs w:val="0"/>
                <w:smallCaps w:val="0"/>
                <w:strike w:val="0"/>
                <w:sz w:val="16.600000381469727"/>
                <w:szCs w:val="16.600000381469727"/>
                <w:u w:val="none"/>
                <w:shd w:fill="auto" w:val="clear"/>
                <w:vertAlign w:val="baseline"/>
              </w:rPr>
            </w:pPr>
            <w:r w:rsidDel="00000000" w:rsidR="00000000" w:rsidRPr="00000000">
              <w:rPr>
                <w:rFonts w:ascii="Arial" w:cs="Arial" w:eastAsia="Arial" w:hAnsi="Arial"/>
                <w:b w:val="1"/>
                <w:bCs w:val="1"/>
                <w:i w:val="0"/>
                <w:iCs w:val="0"/>
                <w:smallCaps w:val="0"/>
                <w:strike w:val="0"/>
                <w:sz w:val="16.600000381469727"/>
                <w:szCs w:val="16.600000381469727"/>
                <w:u w:val="none"/>
                <w:shd w:fill="auto" w:val="clear"/>
                <w:vertAlign w:val="baseline"/>
                <w:rtl w:val="0"/>
              </w:rPr>
              <w:t xml:space="preserve">Finding </w:t>
            </w:r>
          </w:p>
        </w:tc>
        <w:tc>
          <w:tcPr>
            <w:shd w:fill="auto" w:val="clear"/>
            <w:tcMar>
              <w:top w:w="100.0" w:type="dxa"/>
              <w:left w:w="100.0" w:type="dxa"/>
              <w:bottom w:w="100.0" w:type="dxa"/>
              <w:right w:w="100.0" w:type="dxa"/>
            </w:tcMar>
            <w:vAlign w:val="top"/>
          </w:tcPr>
          <w:p w:rsidR="00000000" w:rsidDel="00000000" w:rsidP="00000000" w:rsidRDefault="00000000" w:rsidRPr="00000000" w14:paraId="000001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615966796875" w:right="0" w:firstLine="0"/>
              <w:jc w:val="left"/>
              <w:rPr>
                <w:rFonts w:ascii="Arial" w:cs="Arial" w:eastAsia="Arial" w:hAnsi="Arial"/>
                <w:b w:val="1"/>
                <w:bCs w:val="1"/>
                <w:i w:val="0"/>
                <w:iCs w:val="0"/>
                <w:smallCaps w:val="0"/>
                <w:strike w:val="0"/>
                <w:sz w:val="16.600000381469727"/>
                <w:szCs w:val="16.600000381469727"/>
                <w:u w:val="none"/>
                <w:shd w:fill="auto" w:val="clear"/>
                <w:vertAlign w:val="baseline"/>
              </w:rPr>
            </w:pPr>
            <w:r w:rsidDel="00000000" w:rsidR="00000000" w:rsidRPr="00000000">
              <w:rPr>
                <w:rFonts w:ascii="Arial" w:cs="Arial" w:eastAsia="Arial" w:hAnsi="Arial"/>
                <w:b w:val="1"/>
                <w:bCs w:val="1"/>
                <w:i w:val="0"/>
                <w:iCs w:val="0"/>
                <w:smallCaps w:val="0"/>
                <w:strike w:val="0"/>
                <w:sz w:val="16.600000381469727"/>
                <w:szCs w:val="16.600000381469727"/>
                <w:u w:val="none"/>
                <w:shd w:fill="auto" w:val="clear"/>
                <w:vertAlign w:val="baseline"/>
                <w:rtl w:val="0"/>
              </w:rPr>
              <w:t xml:space="preserve">Design </w:t>
            </w:r>
          </w:p>
        </w:tc>
        <w:tc>
          <w:tcPr>
            <w:shd w:fill="auto" w:val="clear"/>
            <w:tcMar>
              <w:top w:w="100.0" w:type="dxa"/>
              <w:left w:w="100.0" w:type="dxa"/>
              <w:bottom w:w="100.0" w:type="dxa"/>
              <w:right w:w="100.0" w:type="dxa"/>
            </w:tcMar>
            <w:vAlign w:val="top"/>
          </w:tcPr>
          <w:p w:rsidR="00000000" w:rsidDel="00000000" w:rsidP="00000000" w:rsidRDefault="00000000" w:rsidRPr="00000000" w14:paraId="000001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615966796875" w:right="0" w:firstLine="0"/>
              <w:jc w:val="left"/>
              <w:rPr>
                <w:rFonts w:ascii="Arial" w:cs="Arial" w:eastAsia="Arial" w:hAnsi="Arial"/>
                <w:b w:val="1"/>
                <w:bCs w:val="1"/>
                <w:i w:val="0"/>
                <w:iCs w:val="0"/>
                <w:smallCaps w:val="0"/>
                <w:strike w:val="0"/>
                <w:sz w:val="16.600000381469727"/>
                <w:szCs w:val="16.600000381469727"/>
                <w:u w:val="none"/>
                <w:shd w:fill="auto" w:val="clear"/>
                <w:vertAlign w:val="baseline"/>
              </w:rPr>
            </w:pPr>
            <w:r w:rsidDel="00000000" w:rsidR="00000000" w:rsidRPr="00000000">
              <w:rPr>
                <w:rFonts w:ascii="Arial" w:cs="Arial" w:eastAsia="Arial" w:hAnsi="Arial"/>
                <w:b w:val="1"/>
                <w:bCs w:val="1"/>
                <w:i w:val="0"/>
                <w:iCs w:val="0"/>
                <w:smallCaps w:val="0"/>
                <w:strike w:val="0"/>
                <w:sz w:val="16.600000381469727"/>
                <w:szCs w:val="16.600000381469727"/>
                <w:u w:val="none"/>
                <w:shd w:fill="auto" w:val="clear"/>
                <w:vertAlign w:val="baseline"/>
                <w:rtl w:val="0"/>
              </w:rPr>
              <w:t xml:space="preserve">Effect </w:t>
            </w:r>
          </w:p>
        </w:tc>
      </w:tr>
      <w:tr>
        <w:trPr>
          <w:cantSplit w:val="0"/>
          <w:trHeight w:val="120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7.83996582031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Shingles (zoster) vaccine, </w:t>
            </w:r>
          </w:p>
          <w:p w:rsidR="00000000" w:rsidDel="00000000" w:rsidP="00000000" w:rsidRDefault="00000000" w:rsidRPr="00000000" w14:paraId="000001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939453125" w:line="240" w:lineRule="auto"/>
              <w:ind w:left="112.55996704101562"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Welsh natural experiment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1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1.0192060470581" w:lineRule="auto"/>
              <w:ind w:left="114.15985107421875" w:right="186.0003662109375" w:firstLine="9.9200439453125"/>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Regression discontinuity, Sept 2 1933 birth-date cutoff, </w:t>
            </w:r>
          </w:p>
          <w:p w:rsidR="00000000" w:rsidDel="00000000" w:rsidP="00000000" w:rsidRDefault="00000000" w:rsidRPr="00000000" w14:paraId="000001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67529296875" w:line="240" w:lineRule="auto"/>
              <w:ind w:left="114.1598510742187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282,541 adults</w:t>
            </w:r>
          </w:p>
        </w:tc>
        <w:tc>
          <w:tcPr>
            <w:shd w:fill="auto" w:val="clear"/>
            <w:tcMar>
              <w:top w:w="100.0" w:type="dxa"/>
              <w:left w:w="100.0" w:type="dxa"/>
              <w:bottom w:w="100.0" w:type="dxa"/>
              <w:right w:w="100.0" w:type="dxa"/>
            </w:tcMar>
            <w:vAlign w:val="top"/>
          </w:tcPr>
          <w:p w:rsidR="00000000" w:rsidDel="00000000" w:rsidP="00000000" w:rsidRDefault="00000000" w:rsidRPr="00000000" w14:paraId="000001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2.12519645690918" w:lineRule="auto"/>
              <w:ind w:left="122.3199462890625" w:right="184.720458984375" w:hanging="0.159912109375"/>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New dementia diagnosis reduced 8.5% relative (p=0.022) for eligibility; 20.0% relative (p=0.019) for actually receiving it</w:t>
            </w:r>
          </w:p>
        </w:tc>
      </w:tr>
      <w:tr>
        <w:trPr>
          <w:cantSplit w:val="0"/>
          <w:trHeight w:val="991.9995117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231201171875" w:lineRule="auto"/>
              <w:ind w:left="115.11993408203125" w:right="133.0401611328125" w:firstLine="8.960113525390625"/>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Recombinant (Shingrix) vs. live shingles vaccine</w:t>
            </w:r>
          </w:p>
        </w:tc>
        <w:tc>
          <w:tcPr>
            <w:shd w:fill="auto" w:val="clear"/>
            <w:tcMar>
              <w:top w:w="100.0" w:type="dxa"/>
              <w:left w:w="100.0" w:type="dxa"/>
              <w:bottom w:w="100.0" w:type="dxa"/>
              <w:right w:w="100.0" w:type="dxa"/>
            </w:tcMar>
            <w:vAlign w:val="top"/>
          </w:tcPr>
          <w:p w:rsidR="00000000" w:rsidDel="00000000" w:rsidP="00000000" w:rsidRDefault="00000000" w:rsidRPr="00000000" w14:paraId="000001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231201171875" w:lineRule="auto"/>
              <w:ind w:left="122.64007568359375" w:right="97.0404052734375" w:hanging="0.48004150390625"/>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Natural experiment on the rapid US switch, 6-year follow-up</w:t>
            </w:r>
          </w:p>
        </w:tc>
        <w:tc>
          <w:tcPr>
            <w:shd w:fill="auto" w:val="clear"/>
            <w:tcMar>
              <w:top w:w="100.0" w:type="dxa"/>
              <w:left w:w="100.0" w:type="dxa"/>
              <w:bottom w:w="100.0" w:type="dxa"/>
              <w:right w:w="100.0" w:type="dxa"/>
            </w:tcMar>
            <w:vAlign w:val="top"/>
          </w:tcPr>
          <w:p w:rsidR="00000000" w:rsidDel="00000000" w:rsidP="00000000" w:rsidRDefault="00000000" w:rsidRPr="00000000" w14:paraId="000001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8.42276096343994" w:lineRule="auto"/>
              <w:ind w:left="115.5999755859375" w:right="114.4805908203125" w:firstLine="8.480224609375"/>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Recombinant linked to 17% increase in diagnosis-free time — about 164 extra days without a dementia diagnosis; larger effect in women</w:t>
            </w:r>
          </w:p>
        </w:tc>
      </w:tr>
      <w:tr>
        <w:trPr>
          <w:cantSplit w:val="0"/>
          <w:trHeight w:val="992.000122070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231201171875" w:lineRule="auto"/>
              <w:ind w:left="119.27993774414062" w:right="159.4403076171875" w:hanging="6.079864501953125"/>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Vaccination overall (zoster, flu, pneumococcal, Tdap)</w:t>
            </w:r>
          </w:p>
        </w:tc>
        <w:tc>
          <w:tcPr>
            <w:shd w:fill="auto" w:val="clear"/>
            <w:tcMar>
              <w:top w:w="100.0" w:type="dxa"/>
              <w:left w:w="100.0" w:type="dxa"/>
              <w:bottom w:w="100.0" w:type="dxa"/>
              <w:right w:w="100.0" w:type="dxa"/>
            </w:tcMar>
            <w:vAlign w:val="top"/>
          </w:tcPr>
          <w:p w:rsidR="00000000" w:rsidDel="00000000" w:rsidP="00000000" w:rsidRDefault="00000000" w:rsidRPr="00000000" w14:paraId="000001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231201171875" w:lineRule="auto"/>
              <w:ind w:left="126.15997314453125" w:right="488.4002685546875" w:hanging="4.47998046875"/>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Meta-analysis, 21 studies, 104,031,186 participants</w:t>
            </w:r>
          </w:p>
        </w:tc>
        <w:tc>
          <w:tcPr>
            <w:shd w:fill="auto" w:val="clear"/>
            <w:tcMar>
              <w:top w:w="100.0" w:type="dxa"/>
              <w:left w:w="100.0" w:type="dxa"/>
              <w:bottom w:w="100.0" w:type="dxa"/>
              <w:right w:w="100.0" w:type="dxa"/>
            </w:tcMar>
            <w:vAlign w:val="top"/>
          </w:tcPr>
          <w:p w:rsidR="00000000" w:rsidDel="00000000" w:rsidP="00000000" w:rsidRDefault="00000000" w:rsidRPr="00000000" w14:paraId="000001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8.42321872711182" w:lineRule="auto"/>
              <w:ind w:left="112.239990234375" w:right="208.7200927734375" w:firstLine="1.4398193359375"/>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Zoster: RR 0.76 for any dementia, RR 0.53 for Alzheimer's; flu: RR 0.87; pneumococcal: RR 0.64 for Alzheimer's; Tdap: RR 0.67</w:t>
            </w:r>
          </w:p>
        </w:tc>
      </w:tr>
      <w:tr>
        <w:trPr>
          <w:cantSplit w:val="0"/>
          <w:trHeight w:val="784.00024414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23185920715332" w:lineRule="auto"/>
              <w:ind w:left="120.72006225585938" w:right="293.0401611328125" w:hanging="2.880096435546875"/>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Symptomatic herpes simplex infection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1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23185920715332" w:lineRule="auto"/>
              <w:ind w:left="120.40008544921875" w:right="416.7205810546875" w:hanging="4.320068359375"/>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87,687 patients vs 217,895 matched controls</w:t>
            </w:r>
          </w:p>
        </w:tc>
        <w:tc>
          <w:tcPr>
            <w:shd w:fill="auto" w:val="clear"/>
            <w:tcMar>
              <w:top w:w="100.0" w:type="dxa"/>
              <w:left w:w="100.0" w:type="dxa"/>
              <w:bottom w:w="100.0" w:type="dxa"/>
              <w:right w:w="100.0" w:type="dxa"/>
            </w:tcMar>
            <w:vAlign w:val="top"/>
          </w:tcPr>
          <w:p w:rsidR="00000000" w:rsidDel="00000000" w:rsidP="00000000" w:rsidRDefault="00000000" w:rsidRPr="00000000" w14:paraId="000001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2.1255397796631" w:lineRule="auto"/>
              <w:ind w:left="115.1202392578125" w:right="141.0406494140625" w:firstLine="7.19970703125"/>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HR 0.80 — lower dementia risk, the opposite of an infection-causes-dementia story</w:t>
            </w:r>
          </w:p>
        </w:tc>
      </w:tr>
      <w:tr>
        <w:trPr>
          <w:cantSplit w:val="0"/>
          <w:trHeight w:val="783.999633789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7.03994750976562"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COVID-19 and cognition </w:t>
            </w:r>
          </w:p>
        </w:tc>
        <w:tc>
          <w:tcPr>
            <w:shd w:fill="auto" w:val="clear"/>
            <w:tcMar>
              <w:top w:w="100.0" w:type="dxa"/>
              <w:left w:w="100.0" w:type="dxa"/>
              <w:bottom w:w="100.0" w:type="dxa"/>
              <w:right w:w="100.0" w:type="dxa"/>
            </w:tcMar>
            <w:vAlign w:val="top"/>
          </w:tcPr>
          <w:p w:rsidR="00000000" w:rsidDel="00000000" w:rsidP="00000000" w:rsidRDefault="00000000" w:rsidRPr="00000000" w14:paraId="000001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23185920715332" w:lineRule="auto"/>
              <w:ind w:left="116.400146484375" w:right="296.8804931640625" w:firstLine="7.35992431640625"/>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Prospective cohort, n=3,525, global</w:t>
            </w:r>
          </w:p>
        </w:tc>
        <w:tc>
          <w:tcPr>
            <w:shd w:fill="auto" w:val="clear"/>
            <w:tcMar>
              <w:top w:w="100.0" w:type="dxa"/>
              <w:left w:w="100.0" w:type="dxa"/>
              <w:bottom w:w="100.0" w:type="dxa"/>
              <w:right w:w="100.0" w:type="dxa"/>
            </w:tcMar>
            <w:vAlign w:val="top"/>
          </w:tcPr>
          <w:p w:rsidR="00000000" w:rsidDel="00000000" w:rsidP="00000000" w:rsidRDefault="00000000" w:rsidRPr="00000000" w14:paraId="000001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2.1255397796631" w:lineRule="auto"/>
              <w:ind w:left="116.400146484375" w:right="336.5606689453125" w:firstLine="5.9197998046875"/>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Hospitalized infection: small excess cognitive change; non-hospitalized: no excess decline</w:t>
            </w:r>
          </w:p>
        </w:tc>
      </w:tr>
      <w:tr>
        <w:trPr>
          <w:cantSplit w:val="0"/>
          <w:trHeight w:val="576.00036621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160034179687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Lyme neuroborreliosis </w:t>
            </w:r>
          </w:p>
        </w:tc>
        <w:tc>
          <w:tcPr>
            <w:shd w:fill="auto" w:val="clear"/>
            <w:tcMar>
              <w:top w:w="100.0" w:type="dxa"/>
              <w:left w:w="100.0" w:type="dxa"/>
              <w:bottom w:w="100.0" w:type="dxa"/>
              <w:right w:w="100.0" w:type="dxa"/>
            </w:tcMar>
            <w:vAlign w:val="top"/>
          </w:tcPr>
          <w:p w:rsidR="00000000" w:rsidDel="00000000" w:rsidP="00000000" w:rsidRDefault="00000000" w:rsidRPr="00000000" w14:paraId="000001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23185920715332" w:lineRule="auto"/>
              <w:ind w:left="111.2799072265625" w:right="256.8804931640625" w:firstLine="11.67999267578125"/>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Danish cohort, 2,067 patients vs 20,670 comparators</w:t>
            </w:r>
          </w:p>
        </w:tc>
        <w:tc>
          <w:tcPr>
            <w:shd w:fill="auto" w:val="clear"/>
            <w:tcMar>
              <w:top w:w="100.0" w:type="dxa"/>
              <w:left w:w="100.0" w:type="dxa"/>
              <w:bottom w:w="100.0" w:type="dxa"/>
              <w:right w:w="100.0" w:type="dxa"/>
            </w:tcMar>
            <w:vAlign w:val="top"/>
          </w:tcPr>
          <w:p w:rsidR="00000000" w:rsidDel="00000000" w:rsidP="00000000" w:rsidRDefault="00000000" w:rsidRPr="00000000" w14:paraId="000001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23185920715332" w:lineRule="auto"/>
              <w:ind w:left="120.72021484375" w:right="488.0804443359375" w:firstLine="2.239990234375"/>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Dementia HR 0.89 (0.60-1.31) — no increased risk</w:t>
            </w:r>
          </w:p>
        </w:tc>
      </w:tr>
      <w:tr>
        <w:trPr>
          <w:cantSplit w:val="0"/>
          <w:trHeight w:val="367.99987792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7.03994750976562"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Chlamydia pneumoniae </w:t>
            </w:r>
          </w:p>
        </w:tc>
        <w:tc>
          <w:tcPr>
            <w:shd w:fill="auto" w:val="clear"/>
            <w:tcMar>
              <w:top w:w="100.0" w:type="dxa"/>
              <w:left w:w="100.0" w:type="dxa"/>
              <w:bottom w:w="100.0" w:type="dxa"/>
              <w:right w:w="100.0" w:type="dxa"/>
            </w:tcMar>
            <w:vAlign w:val="top"/>
          </w:tcPr>
          <w:p w:rsidR="00000000" w:rsidDel="00000000" w:rsidP="00000000" w:rsidRDefault="00000000" w:rsidRPr="00000000" w14:paraId="000001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160034179687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Narrative review </w:t>
            </w:r>
          </w:p>
        </w:tc>
        <w:tc>
          <w:tcPr>
            <w:shd w:fill="auto" w:val="clear"/>
            <w:tcMar>
              <w:top w:w="100.0" w:type="dxa"/>
              <w:left w:w="100.0" w:type="dxa"/>
              <w:bottom w:w="100.0" w:type="dxa"/>
              <w:right w:w="100.0" w:type="dxa"/>
            </w:tcMar>
            <w:vAlign w:val="top"/>
          </w:tcPr>
          <w:p w:rsidR="00000000" w:rsidDel="00000000" w:rsidP="00000000" w:rsidRDefault="00000000" w:rsidRPr="00000000" w14:paraId="000001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19995117187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"Remains controversial" </w:t>
            </w:r>
          </w:p>
        </w:tc>
      </w:tr>
    </w:tbl>
    <w:p w:rsidR="00000000" w:rsidDel="00000000" w:rsidP="00000000" w:rsidRDefault="00000000" w:rsidRPr="00000000" w14:paraId="000001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9.88402366638184" w:lineRule="auto"/>
        <w:ind w:left="64.4000244140625" w:right="207.000732421875" w:hanging="3.600006103515625"/>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 2025 meta-analysis concluded: adult vaccination — particularly against herpes zoster, influenza, pneumococcus, and Tdap — is associated with lower dementia risk, and vaccination strategies should be considered part of public health dementia-prevention initiatives. This is association, not a randomized proof of causation, but the consistency across natural experiments and large meta-analyses makes it one of the stronger observational signals in this guide. Staying current on adult vaccines is a low-risk, low-cost, broadly beneficial action regardless of the dementia link. </w:t>
      </w:r>
    </w:p>
    <w:p w:rsidR="00000000" w:rsidDel="00000000" w:rsidP="00000000" w:rsidRDefault="00000000" w:rsidRPr="00000000" w14:paraId="000001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5.0299072265625" w:line="240" w:lineRule="auto"/>
        <w:ind w:left="69.44000244140625" w:right="0" w:firstLine="0"/>
        <w:jc w:val="left"/>
        <w:rPr>
          <w:rFonts w:ascii="Arial" w:cs="Arial" w:eastAsia="Arial" w:hAnsi="Arial"/>
          <w:b w:val="1"/>
          <w:bCs w:val="1"/>
          <w:i w:val="0"/>
          <w:iCs w:val="0"/>
          <w:smallCaps w:val="0"/>
          <w:strike w:val="0"/>
          <w:color w:val="0f6b5c"/>
          <w:sz w:val="26"/>
          <w:szCs w:val="26"/>
          <w:u w:val="none"/>
          <w:shd w:fill="auto" w:val="clear"/>
          <w:vertAlign w:val="baseline"/>
        </w:rPr>
      </w:pPr>
      <w:r w:rsidDel="00000000" w:rsidR="00000000" w:rsidRPr="00000000">
        <w:rPr>
          <w:rFonts w:ascii="Arial" w:cs="Arial" w:eastAsia="Arial" w:hAnsi="Arial"/>
          <w:b w:val="1"/>
          <w:bCs w:val="1"/>
          <w:i w:val="0"/>
          <w:iCs w:val="0"/>
          <w:smallCaps w:val="0"/>
          <w:strike w:val="0"/>
          <w:color w:val="0f6b5c"/>
          <w:sz w:val="26"/>
          <w:szCs w:val="26"/>
          <w:u w:val="none"/>
          <w:shd w:fill="auto" w:val="clear"/>
          <w:vertAlign w:val="baseline"/>
          <w:rtl w:val="0"/>
        </w:rPr>
        <w:t xml:space="preserve">Gut Microbiome </w:t>
      </w:r>
    </w:p>
    <w:p w:rsidR="00000000" w:rsidDel="00000000" w:rsidP="00000000" w:rsidRDefault="00000000" w:rsidRPr="00000000" w14:paraId="000001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6.5802001953125" w:line="289.88402366638184" w:lineRule="auto"/>
        <w:ind w:left="65" w:right="62.603759765625" w:firstLine="10.60005187988281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Research suggests the gut microbiome may play a role in Alzheimer's development or progression. An unhealthy or imbalanced gut microbiome may increase intestinal permeability, inflammation, and exposure to bacterial toxins, which could contribute to brain inflammation, disruption of the blood-brain barrier, and changes related to amyloid buildup. People with Alzheimer's often show different gut bacterial patterns than cognitively healthy people, though researchers have not determined whether these changes help cause Alzheimer's or occur as a result of it. </w:t>
      </w:r>
    </w:p>
    <w:p w:rsidR="00000000" w:rsidDel="00000000" w:rsidP="00000000" w:rsidRDefault="00000000" w:rsidRPr="00000000" w14:paraId="000001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5.0299072265625" w:line="289.88402366638184" w:lineRule="auto"/>
        <w:ind w:left="60.800018310546875" w:right="38.001708984375" w:firstLine="14.800033569335938"/>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Researchers are studying whether improving gut health through diet, prebiotics, probiotics, and other microbiome-targeted treatments could reduce cognitive decline. The evidence is promising but preliminary, and no specific probiotic or microbiome treatment has been proven to prevent Alzheimer's. For now, a high-fiber, plant-rich diet, fermented foods, regular exercise, and avoiding unnecessary antibiotics is a reasonable strategy with broad health benefits beyond any dementia-specific claim.</w:t>
      </w:r>
    </w:p>
    <w:p w:rsidR="00000000" w:rsidDel="00000000" w:rsidP="00000000" w:rsidRDefault="00000000" w:rsidRPr="00000000" w14:paraId="000001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1.25999450683594" w:right="0" w:firstLine="0"/>
        <w:jc w:val="left"/>
        <w:rPr>
          <w:rFonts w:ascii="Arial" w:cs="Arial" w:eastAsia="Arial" w:hAnsi="Arial"/>
          <w:b w:val="1"/>
          <w:bCs w:val="1"/>
          <w:i w:val="0"/>
          <w:iCs w:val="0"/>
          <w:smallCaps w:val="0"/>
          <w:strike w:val="0"/>
          <w:color w:val="1b3a4b"/>
          <w:sz w:val="34"/>
          <w:szCs w:val="34"/>
          <w:u w:val="none"/>
          <w:shd w:fill="auto" w:val="clear"/>
          <w:vertAlign w:val="baseline"/>
        </w:rPr>
      </w:pPr>
      <w:r w:rsidDel="00000000" w:rsidR="00000000" w:rsidRPr="00000000">
        <w:rPr>
          <w:rFonts w:ascii="Arial" w:cs="Arial" w:eastAsia="Arial" w:hAnsi="Arial"/>
          <w:b w:val="1"/>
          <w:bCs w:val="1"/>
          <w:i w:val="0"/>
          <w:iCs w:val="0"/>
          <w:smallCaps w:val="0"/>
          <w:strike w:val="0"/>
          <w:color w:val="1b3a4b"/>
          <w:sz w:val="34"/>
          <w:szCs w:val="34"/>
          <w:u w:val="none"/>
          <w:shd w:fill="auto" w:val="clear"/>
          <w:vertAlign w:val="baseline"/>
          <w:rtl w:val="0"/>
        </w:rPr>
        <w:t xml:space="preserve">Section 5: Emerging and Controversial Approaches </w:t>
      </w:r>
    </w:p>
    <w:p w:rsidR="00000000" w:rsidDel="00000000" w:rsidP="00000000" w:rsidRDefault="00000000" w:rsidRPr="00000000" w14:paraId="000001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3.22021484375" w:line="284.0968608856201" w:lineRule="auto"/>
        <w:ind w:left="60.66001892089844" w:right="315.8642578125" w:firstLine="11.780014038085938"/>
        <w:jc w:val="left"/>
        <w:rPr>
          <w:rFonts w:ascii="Arial" w:cs="Arial" w:eastAsia="Arial" w:hAnsi="Arial"/>
          <w:b w:val="0"/>
          <w:bCs w:val="0"/>
          <w:i w:val="0"/>
          <w:iCs w:val="0"/>
          <w:smallCaps w:val="0"/>
          <w:strike w:val="0"/>
          <w:color w:val="1b3a4b"/>
          <w:sz w:val="19"/>
          <w:szCs w:val="19"/>
          <w:u w:val="none"/>
          <w:shd w:fill="auto" w:val="clear"/>
          <w:vertAlign w:val="baseline"/>
        </w:rPr>
      </w:pPr>
      <w:r w:rsidDel="00000000" w:rsidR="00000000" w:rsidRPr="00000000">
        <w:rPr>
          <w:rFonts w:ascii="Arial" w:cs="Arial" w:eastAsia="Arial" w:hAnsi="Arial"/>
          <w:b w:val="1"/>
          <w:bCs w:val="1"/>
          <w:i w:val="0"/>
          <w:iCs w:val="0"/>
          <w:smallCaps w:val="0"/>
          <w:strike w:val="0"/>
          <w:color w:val="1b3a4b"/>
          <w:sz w:val="19"/>
          <w:szCs w:val="19"/>
          <w:u w:val="none"/>
          <w:shd w:fill="auto" w:val="clear"/>
          <w:vertAlign w:val="baseline"/>
          <w:rtl w:val="0"/>
        </w:rPr>
        <w:t xml:space="preserve">Bottom line: </w:t>
      </w:r>
      <w:r w:rsidDel="00000000" w:rsidR="00000000" w:rsidRPr="00000000">
        <w:rPr>
          <w:rFonts w:ascii="Arial" w:cs="Arial" w:eastAsia="Arial" w:hAnsi="Arial"/>
          <w:b w:val="0"/>
          <w:bCs w:val="0"/>
          <w:i w:val="0"/>
          <w:iCs w:val="0"/>
          <w:smallCaps w:val="0"/>
          <w:strike w:val="0"/>
          <w:color w:val="1b3a4b"/>
          <w:sz w:val="19"/>
          <w:szCs w:val="19"/>
          <w:u w:val="none"/>
          <w:shd w:fill="auto" w:val="clear"/>
          <w:vertAlign w:val="baseline"/>
          <w:rtl w:val="0"/>
        </w:rPr>
        <w:t xml:space="preserve">these are legitimate areas of active research, not proven prevention tools. None are required for this protocol. </w:t>
      </w:r>
    </w:p>
    <w:p w:rsidR="00000000" w:rsidDel="00000000" w:rsidP="00000000" w:rsidRDefault="00000000" w:rsidRPr="00000000" w14:paraId="000001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3.360595703125" w:line="240" w:lineRule="auto"/>
        <w:ind w:left="65.02006530761719" w:right="0" w:firstLine="0"/>
        <w:jc w:val="left"/>
        <w:rPr>
          <w:rFonts w:ascii="Arial" w:cs="Arial" w:eastAsia="Arial" w:hAnsi="Arial"/>
          <w:b w:val="1"/>
          <w:bCs w:val="1"/>
          <w:i w:val="0"/>
          <w:iCs w:val="0"/>
          <w:smallCaps w:val="0"/>
          <w:strike w:val="0"/>
          <w:color w:val="0f6b5c"/>
          <w:sz w:val="26"/>
          <w:szCs w:val="26"/>
          <w:u w:val="none"/>
          <w:shd w:fill="auto" w:val="clear"/>
          <w:vertAlign w:val="baseline"/>
        </w:rPr>
      </w:pPr>
      <w:r w:rsidDel="00000000" w:rsidR="00000000" w:rsidRPr="00000000">
        <w:rPr>
          <w:rFonts w:ascii="Arial" w:cs="Arial" w:eastAsia="Arial" w:hAnsi="Arial"/>
          <w:b w:val="1"/>
          <w:bCs w:val="1"/>
          <w:i w:val="0"/>
          <w:iCs w:val="0"/>
          <w:smallCaps w:val="0"/>
          <w:strike w:val="0"/>
          <w:color w:val="0f6b5c"/>
          <w:sz w:val="26"/>
          <w:szCs w:val="26"/>
          <w:u w:val="none"/>
          <w:shd w:fill="auto" w:val="clear"/>
          <w:vertAlign w:val="baseline"/>
          <w:rtl w:val="0"/>
        </w:rPr>
        <w:t xml:space="preserve">40Hz Light and Sound Stimulation </w:t>
      </w:r>
    </w:p>
    <w:p w:rsidR="00000000" w:rsidDel="00000000" w:rsidP="00000000" w:rsidRDefault="00000000" w:rsidRPr="00000000" w14:paraId="000001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6.57958984375" w:line="289.88402366638184" w:lineRule="auto"/>
        <w:ind w:left="60.800018310546875" w:right="74.00146484375" w:firstLine="6.8000030517578125"/>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Gamma-frequency (40Hz) sensory stimulation is an emerging research area. Animal studies suggest reduced Alzheimer-related pathology, and small human studies in mild cognitive impairment or early Alzheimer's suggest daily 40Hz light-and-sound stimulation is feasible, generally well tolerated, and may slow cognitive and functional decline. It is not yet a proven prevention or treatment and should not replace medical care. People with seizure disorders, light sensitivity, or certain neurologic conditions should get clinician guidance before trying flashing-light devices. </w:t>
      </w:r>
    </w:p>
    <w:p w:rsidR="00000000" w:rsidDel="00000000" w:rsidP="00000000" w:rsidRDefault="00000000" w:rsidRPr="00000000" w14:paraId="000001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5.030517578125" w:line="240" w:lineRule="auto"/>
        <w:ind w:left="77.760009765625" w:right="0" w:firstLine="0"/>
        <w:jc w:val="left"/>
        <w:rPr>
          <w:rFonts w:ascii="Arial" w:cs="Arial" w:eastAsia="Arial" w:hAnsi="Arial"/>
          <w:b w:val="1"/>
          <w:bCs w:val="1"/>
          <w:i w:val="0"/>
          <w:iCs w:val="0"/>
          <w:smallCaps w:val="0"/>
          <w:strike w:val="0"/>
          <w:color w:val="0f6b5c"/>
          <w:sz w:val="26"/>
          <w:szCs w:val="26"/>
          <w:u w:val="none"/>
          <w:shd w:fill="auto" w:val="clear"/>
          <w:vertAlign w:val="baseline"/>
        </w:rPr>
      </w:pPr>
      <w:r w:rsidDel="00000000" w:rsidR="00000000" w:rsidRPr="00000000">
        <w:rPr>
          <w:rFonts w:ascii="Arial" w:cs="Arial" w:eastAsia="Arial" w:hAnsi="Arial"/>
          <w:b w:val="1"/>
          <w:bCs w:val="1"/>
          <w:i w:val="0"/>
          <w:iCs w:val="0"/>
          <w:smallCaps w:val="0"/>
          <w:strike w:val="0"/>
          <w:color w:val="0f6b5c"/>
          <w:sz w:val="26"/>
          <w:szCs w:val="26"/>
          <w:u w:val="none"/>
          <w:shd w:fill="auto" w:val="clear"/>
          <w:vertAlign w:val="baseline"/>
          <w:rtl w:val="0"/>
        </w:rPr>
        <w:t xml:space="preserve">Frequent Sauna Bathing </w:t>
      </w:r>
    </w:p>
    <w:p w:rsidR="00000000" w:rsidDel="00000000" w:rsidP="00000000" w:rsidRDefault="00000000" w:rsidRPr="00000000" w14:paraId="000001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6.57958984375" w:line="289.88402366638184" w:lineRule="auto"/>
        <w:ind w:left="60.800018310546875" w:right="158.203125" w:firstLine="14.4000244140625"/>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Finnish observational studies found more frequent sauna use associated with lower later dementia and Alzheimer's risk. This is an association, not proof that sauna causes protection — sauna users may differ from non-users in other important ways (income, baseline fitness, social patterns). If you enjoy a sauna and your clinician says it's safe, use hydration, avoid alcohol, stop if dizzy or unwell, and avoid it when acutely ill or medically contraindicated. </w:t>
      </w:r>
    </w:p>
    <w:p w:rsidR="00000000" w:rsidDel="00000000" w:rsidP="00000000" w:rsidRDefault="00000000" w:rsidRPr="00000000" w14:paraId="000001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5.0299072265625" w:line="240" w:lineRule="auto"/>
        <w:ind w:left="76.46003723144531" w:right="0" w:firstLine="0"/>
        <w:jc w:val="left"/>
        <w:rPr>
          <w:rFonts w:ascii="Arial" w:cs="Arial" w:eastAsia="Arial" w:hAnsi="Arial"/>
          <w:b w:val="1"/>
          <w:bCs w:val="1"/>
          <w:i w:val="0"/>
          <w:iCs w:val="0"/>
          <w:smallCaps w:val="0"/>
          <w:strike w:val="0"/>
          <w:color w:val="0f6b5c"/>
          <w:sz w:val="26"/>
          <w:szCs w:val="26"/>
          <w:u w:val="none"/>
          <w:shd w:fill="auto" w:val="clear"/>
          <w:vertAlign w:val="baseline"/>
        </w:rPr>
      </w:pPr>
      <w:r w:rsidDel="00000000" w:rsidR="00000000" w:rsidRPr="00000000">
        <w:rPr>
          <w:rFonts w:ascii="Arial" w:cs="Arial" w:eastAsia="Arial" w:hAnsi="Arial"/>
          <w:b w:val="1"/>
          <w:bCs w:val="1"/>
          <w:i w:val="0"/>
          <w:iCs w:val="0"/>
          <w:smallCaps w:val="0"/>
          <w:strike w:val="0"/>
          <w:color w:val="0f6b5c"/>
          <w:sz w:val="26"/>
          <w:szCs w:val="26"/>
          <w:u w:val="none"/>
          <w:shd w:fill="auto" w:val="clear"/>
          <w:vertAlign w:val="baseline"/>
          <w:rtl w:val="0"/>
        </w:rPr>
        <w:t xml:space="preserve">Hyperbaric Oxygen Therapy </w:t>
      </w:r>
    </w:p>
    <w:p w:rsidR="00000000" w:rsidDel="00000000" w:rsidP="00000000" w:rsidRDefault="00000000" w:rsidRPr="00000000" w14:paraId="000001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6.5802001953125" w:line="289.88402366638184" w:lineRule="auto"/>
        <w:ind w:left="60.800018310546875" w:right="38.00048828125"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 2024 systematic review and meta-analysis included 11 randomized controlled trials with 847 people with Alzheimer's disease and found improvements on cognitive and daily-function scales among participants receiving hyperbaric oxygen. The authors called the findings promising while calling for more rigorous studies to define its true clinical value — this is not yet a validated standard of care. </w:t>
      </w:r>
    </w:p>
    <w:p w:rsidR="00000000" w:rsidDel="00000000" w:rsidP="00000000" w:rsidRDefault="00000000" w:rsidRPr="00000000" w14:paraId="000001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5.0299072265625" w:line="240" w:lineRule="auto"/>
        <w:ind w:left="62.1600341796875" w:right="0" w:firstLine="0"/>
        <w:jc w:val="left"/>
        <w:rPr>
          <w:rFonts w:ascii="Arial" w:cs="Arial" w:eastAsia="Arial" w:hAnsi="Arial"/>
          <w:b w:val="1"/>
          <w:bCs w:val="1"/>
          <w:i w:val="0"/>
          <w:iCs w:val="0"/>
          <w:smallCaps w:val="0"/>
          <w:strike w:val="0"/>
          <w:color w:val="0f6b5c"/>
          <w:sz w:val="26"/>
          <w:szCs w:val="26"/>
          <w:u w:val="none"/>
          <w:shd w:fill="auto" w:val="clear"/>
          <w:vertAlign w:val="baseline"/>
        </w:rPr>
      </w:pPr>
      <w:r w:rsidDel="00000000" w:rsidR="00000000" w:rsidRPr="00000000">
        <w:rPr>
          <w:rFonts w:ascii="Arial" w:cs="Arial" w:eastAsia="Arial" w:hAnsi="Arial"/>
          <w:b w:val="1"/>
          <w:bCs w:val="1"/>
          <w:i w:val="0"/>
          <w:iCs w:val="0"/>
          <w:smallCaps w:val="0"/>
          <w:strike w:val="0"/>
          <w:color w:val="0f6b5c"/>
          <w:sz w:val="26"/>
          <w:szCs w:val="26"/>
          <w:u w:val="none"/>
          <w:shd w:fill="auto" w:val="clear"/>
          <w:vertAlign w:val="baseline"/>
          <w:rtl w:val="0"/>
        </w:rPr>
        <w:t xml:space="preserve">What's Established vs. Speculative — Reread This Before Spending Money </w:t>
      </w:r>
    </w:p>
    <w:tbl>
      <w:tblPr>
        <w:tblStyle w:val="Table14"/>
        <w:tblW w:w="9648.000183105469" w:type="dxa"/>
        <w:jc w:val="left"/>
        <w:tblInd w:w="144.00009155273438"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736.0000610351562"/>
        <w:gridCol w:w="2303.9996337890625"/>
        <w:gridCol w:w="4608.00048828125"/>
        <w:tblGridChange w:id="0">
          <w:tblGrid>
            <w:gridCol w:w="2736.0000610351562"/>
            <w:gridCol w:w="2303.9996337890625"/>
            <w:gridCol w:w="4608.00048828125"/>
          </w:tblGrid>
        </w:tblGridChange>
      </w:tblGrid>
      <w:tr>
        <w:trPr>
          <w:cantSplit w:val="0"/>
          <w:trHeight w:val="367.99987792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7.30392456054688" w:right="0" w:firstLine="0"/>
              <w:jc w:val="left"/>
              <w:rPr>
                <w:rFonts w:ascii="Arial" w:cs="Arial" w:eastAsia="Arial" w:hAnsi="Arial"/>
                <w:b w:val="1"/>
                <w:bCs w:val="1"/>
                <w:i w:val="0"/>
                <w:iCs w:val="0"/>
                <w:smallCaps w:val="0"/>
                <w:strike w:val="0"/>
                <w:sz w:val="16.600000381469727"/>
                <w:szCs w:val="16.600000381469727"/>
                <w:u w:val="none"/>
                <w:shd w:fill="auto" w:val="clear"/>
                <w:vertAlign w:val="baseline"/>
              </w:rPr>
            </w:pPr>
            <w:r w:rsidDel="00000000" w:rsidR="00000000" w:rsidRPr="00000000">
              <w:rPr>
                <w:rFonts w:ascii="Arial" w:cs="Arial" w:eastAsia="Arial" w:hAnsi="Arial"/>
                <w:b w:val="1"/>
                <w:bCs w:val="1"/>
                <w:i w:val="0"/>
                <w:iCs w:val="0"/>
                <w:smallCaps w:val="0"/>
                <w:strike w:val="0"/>
                <w:sz w:val="16.600000381469727"/>
                <w:szCs w:val="16.600000381469727"/>
                <w:u w:val="none"/>
                <w:shd w:fill="auto" w:val="clear"/>
                <w:vertAlign w:val="baseline"/>
                <w:rtl w:val="0"/>
              </w:rPr>
              <w:t xml:space="preserve">Claim or product </w:t>
            </w:r>
          </w:p>
        </w:tc>
        <w:tc>
          <w:tcPr>
            <w:shd w:fill="auto" w:val="clear"/>
            <w:tcMar>
              <w:top w:w="100.0" w:type="dxa"/>
              <w:left w:w="100.0" w:type="dxa"/>
              <w:bottom w:w="100.0" w:type="dxa"/>
              <w:right w:w="100.0" w:type="dxa"/>
            </w:tcMar>
            <w:vAlign w:val="top"/>
          </w:tcPr>
          <w:p w:rsidR="00000000" w:rsidDel="00000000" w:rsidP="00000000" w:rsidRDefault="00000000" w:rsidRPr="00000000" w14:paraId="000001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4739990234375" w:right="0" w:firstLine="0"/>
              <w:jc w:val="left"/>
              <w:rPr>
                <w:rFonts w:ascii="Arial" w:cs="Arial" w:eastAsia="Arial" w:hAnsi="Arial"/>
                <w:b w:val="1"/>
                <w:bCs w:val="1"/>
                <w:i w:val="0"/>
                <w:iCs w:val="0"/>
                <w:smallCaps w:val="0"/>
                <w:strike w:val="0"/>
                <w:sz w:val="16.600000381469727"/>
                <w:szCs w:val="16.600000381469727"/>
                <w:u w:val="none"/>
                <w:shd w:fill="auto" w:val="clear"/>
                <w:vertAlign w:val="baseline"/>
              </w:rPr>
            </w:pPr>
            <w:r w:rsidDel="00000000" w:rsidR="00000000" w:rsidRPr="00000000">
              <w:rPr>
                <w:rFonts w:ascii="Arial" w:cs="Arial" w:eastAsia="Arial" w:hAnsi="Arial"/>
                <w:b w:val="1"/>
                <w:bCs w:val="1"/>
                <w:i w:val="0"/>
                <w:iCs w:val="0"/>
                <w:smallCaps w:val="0"/>
                <w:strike w:val="0"/>
                <w:sz w:val="16.600000381469727"/>
                <w:szCs w:val="16.600000381469727"/>
                <w:u w:val="none"/>
                <w:shd w:fill="auto" w:val="clear"/>
                <w:vertAlign w:val="baseline"/>
                <w:rtl w:val="0"/>
              </w:rPr>
              <w:t xml:space="preserve">Status </w:t>
            </w:r>
          </w:p>
        </w:tc>
        <w:tc>
          <w:tcPr>
            <w:shd w:fill="auto" w:val="clear"/>
            <w:tcMar>
              <w:top w:w="100.0" w:type="dxa"/>
              <w:left w:w="100.0" w:type="dxa"/>
              <w:bottom w:w="100.0" w:type="dxa"/>
              <w:right w:w="100.0" w:type="dxa"/>
            </w:tcMar>
            <w:vAlign w:val="top"/>
          </w:tcPr>
          <w:p w:rsidR="00000000" w:rsidDel="00000000" w:rsidP="00000000" w:rsidRDefault="00000000" w:rsidRPr="00000000" w14:paraId="000001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65625" w:right="0" w:firstLine="0"/>
              <w:jc w:val="left"/>
              <w:rPr>
                <w:rFonts w:ascii="Arial" w:cs="Arial" w:eastAsia="Arial" w:hAnsi="Arial"/>
                <w:b w:val="1"/>
                <w:bCs w:val="1"/>
                <w:i w:val="0"/>
                <w:iCs w:val="0"/>
                <w:smallCaps w:val="0"/>
                <w:strike w:val="0"/>
                <w:sz w:val="16.600000381469727"/>
                <w:szCs w:val="16.600000381469727"/>
                <w:u w:val="none"/>
                <w:shd w:fill="auto" w:val="clear"/>
                <w:vertAlign w:val="baseline"/>
              </w:rPr>
            </w:pPr>
            <w:r w:rsidDel="00000000" w:rsidR="00000000" w:rsidRPr="00000000">
              <w:rPr>
                <w:rFonts w:ascii="Arial" w:cs="Arial" w:eastAsia="Arial" w:hAnsi="Arial"/>
                <w:b w:val="1"/>
                <w:bCs w:val="1"/>
                <w:i w:val="0"/>
                <w:iCs w:val="0"/>
                <w:smallCaps w:val="0"/>
                <w:strike w:val="0"/>
                <w:sz w:val="16.600000381469727"/>
                <w:szCs w:val="16.600000381469727"/>
                <w:u w:val="none"/>
                <w:shd w:fill="auto" w:val="clear"/>
                <w:vertAlign w:val="baseline"/>
                <w:rtl w:val="0"/>
              </w:rPr>
              <w:t xml:space="preserve">What the evidence actually says</w:t>
            </w:r>
          </w:p>
        </w:tc>
      </w:tr>
      <w:tr>
        <w:trPr>
          <w:cantSplit w:val="0"/>
          <w:trHeight w:val="784.00024414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23185920715332" w:lineRule="auto"/>
              <w:ind w:left="120.39993286132812" w:right="162.80029296875" w:firstLine="3.360137939453125"/>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Fixing dampness and leaks in your home</w:t>
            </w:r>
          </w:p>
        </w:tc>
        <w:tc>
          <w:tcPr>
            <w:shd w:fill="auto" w:val="clear"/>
            <w:tcMar>
              <w:top w:w="100.0" w:type="dxa"/>
              <w:left w:w="100.0" w:type="dxa"/>
              <w:bottom w:w="100.0" w:type="dxa"/>
              <w:right w:w="100.0" w:type="dxa"/>
            </w:tcMar>
            <w:vAlign w:val="top"/>
          </w:tcPr>
          <w:p w:rsidR="00000000" w:rsidDel="00000000" w:rsidP="00000000" w:rsidRDefault="00000000" w:rsidRPr="00000000" w14:paraId="000001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23185920715332" w:lineRule="auto"/>
              <w:ind w:left="120.40008544921875" w:right="442.0001220703125" w:firstLine="3.3599853515625"/>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Established as a general health measure</w:t>
            </w:r>
          </w:p>
        </w:tc>
        <w:tc>
          <w:tcPr>
            <w:shd w:fill="auto" w:val="clear"/>
            <w:tcMar>
              <w:top w:w="100.0" w:type="dxa"/>
              <w:left w:w="100.0" w:type="dxa"/>
              <w:bottom w:w="100.0" w:type="dxa"/>
              <w:right w:w="100.0" w:type="dxa"/>
            </w:tcMar>
            <w:vAlign w:val="top"/>
          </w:tcPr>
          <w:p w:rsidR="00000000" w:rsidDel="00000000" w:rsidP="00000000" w:rsidRDefault="00000000" w:rsidRPr="00000000" w14:paraId="000001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2.1255397796631" w:lineRule="auto"/>
              <w:ind w:left="115.5999755859375" w:right="167.281494140625" w:firstLine="7.3602294921875"/>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Dampness affects 10-50% of indoor environments and raises respiratory symptoms, infections, and asthma flare-ups; no dementia outcome has been studied directly</w:t>
            </w:r>
          </w:p>
        </w:tc>
      </w:tr>
      <w:tr>
        <w:trPr>
          <w:cantSplit w:val="0"/>
          <w:trHeight w:val="575.99975585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23220252990723" w:lineRule="auto"/>
              <w:ind w:left="119.27993774414062" w:right="491.76025390625" w:hanging="7.039947509765625"/>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Testing tap water for lead with pre-1986 plumbing or a well</w:t>
            </w:r>
          </w:p>
        </w:tc>
        <w:tc>
          <w:tcPr>
            <w:shd w:fill="auto" w:val="clear"/>
            <w:tcMar>
              <w:top w:w="100.0" w:type="dxa"/>
              <w:left w:w="100.0" w:type="dxa"/>
              <w:bottom w:w="100.0" w:type="dxa"/>
              <w:right w:w="100.0" w:type="dxa"/>
            </w:tcMar>
            <w:vAlign w:val="top"/>
          </w:tcPr>
          <w:p w:rsidR="00000000" w:rsidDel="00000000" w:rsidP="00000000" w:rsidRDefault="00000000" w:rsidRPr="00000000" w14:paraId="000001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3.760070800781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Established and actionable </w:t>
            </w:r>
          </w:p>
        </w:tc>
        <w:tc>
          <w:tcPr>
            <w:shd w:fill="auto" w:val="clear"/>
            <w:tcMar>
              <w:top w:w="100.0" w:type="dxa"/>
              <w:left w:w="100.0" w:type="dxa"/>
              <w:bottom w:w="100.0" w:type="dxa"/>
              <w:right w:w="100.0" w:type="dxa"/>
            </w:tcMar>
            <w:vAlign w:val="top"/>
          </w:tcPr>
          <w:p w:rsidR="00000000" w:rsidDel="00000000" w:rsidP="00000000" w:rsidRDefault="00000000" w:rsidRPr="00000000" w14:paraId="000001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23220252990723" w:lineRule="auto"/>
              <w:ind w:left="122.3199462890625" w:right="451.28173828125" w:hanging="10.0799560546875"/>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Action level 15 ppb; test costs $20-$100; boiling does not remove lead</w:t>
            </w:r>
          </w:p>
        </w:tc>
      </w:tr>
    </w:tbl>
    <w:p w:rsidR="00000000" w:rsidDel="00000000" w:rsidP="00000000" w:rsidRDefault="00000000" w:rsidRPr="00000000" w14:paraId="000001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6.46003723144531" w:right="0" w:firstLine="0"/>
        <w:jc w:val="left"/>
        <w:rPr>
          <w:rFonts w:ascii="Arial" w:cs="Arial" w:eastAsia="Arial" w:hAnsi="Arial"/>
          <w:b w:val="1"/>
          <w:bCs w:val="1"/>
          <w:i w:val="0"/>
          <w:iCs w:val="0"/>
          <w:smallCaps w:val="0"/>
          <w:strike w:val="0"/>
          <w:color w:val="0f6b5c"/>
          <w:sz w:val="26"/>
          <w:szCs w:val="26"/>
          <w:u w:val="none"/>
          <w:shd w:fill="auto" w:val="clear"/>
          <w:vertAlign w:val="baseline"/>
        </w:rPr>
      </w:pPr>
      <w:r w:rsidDel="00000000" w:rsidR="00000000" w:rsidRPr="00000000">
        <w:rPr>
          <w:rFonts w:ascii="Arial" w:cs="Arial" w:eastAsia="Arial" w:hAnsi="Arial"/>
          <w:b w:val="1"/>
          <w:bCs w:val="1"/>
          <w:i w:val="0"/>
          <w:iCs w:val="0"/>
          <w:smallCaps w:val="0"/>
          <w:strike w:val="0"/>
          <w:color w:val="0f6b5c"/>
          <w:sz w:val="26"/>
          <w:szCs w:val="26"/>
          <w:u w:val="none"/>
          <w:shd w:fill="auto" w:val="clear"/>
          <w:vertAlign w:val="baseline"/>
          <w:rtl w:val="0"/>
        </w:rPr>
        <w:t xml:space="preserve">How to Rank All of This in Your Own Life</w:t>
      </w:r>
    </w:p>
    <w:tbl>
      <w:tblPr>
        <w:tblStyle w:val="Table15"/>
        <w:tblW w:w="9648.000183105469" w:type="dxa"/>
        <w:jc w:val="left"/>
        <w:tblInd w:w="144.00009155273438"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51.9999694824219"/>
        <w:gridCol w:w="4320.000457763672"/>
        <w:gridCol w:w="4175.999755859375"/>
        <w:tblGridChange w:id="0">
          <w:tblGrid>
            <w:gridCol w:w="1151.9999694824219"/>
            <w:gridCol w:w="4320.000457763672"/>
            <w:gridCol w:w="4175.999755859375"/>
          </w:tblGrid>
        </w:tblGridChange>
      </w:tblGrid>
      <w:tr>
        <w:trPr>
          <w:cantSplit w:val="0"/>
          <w:trHeight w:val="367.99987792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615966796875" w:right="0" w:firstLine="0"/>
              <w:jc w:val="left"/>
              <w:rPr>
                <w:rFonts w:ascii="Arial" w:cs="Arial" w:eastAsia="Arial" w:hAnsi="Arial"/>
                <w:b w:val="1"/>
                <w:bCs w:val="1"/>
                <w:i w:val="0"/>
                <w:iCs w:val="0"/>
                <w:smallCaps w:val="0"/>
                <w:strike w:val="0"/>
                <w:sz w:val="16.600000381469727"/>
                <w:szCs w:val="16.600000381469727"/>
                <w:u w:val="none"/>
                <w:shd w:fill="auto" w:val="clear"/>
                <w:vertAlign w:val="baseline"/>
              </w:rPr>
            </w:pPr>
            <w:r w:rsidDel="00000000" w:rsidR="00000000" w:rsidRPr="00000000">
              <w:rPr>
                <w:rFonts w:ascii="Arial" w:cs="Arial" w:eastAsia="Arial" w:hAnsi="Arial"/>
                <w:b w:val="1"/>
                <w:bCs w:val="1"/>
                <w:i w:val="0"/>
                <w:iCs w:val="0"/>
                <w:smallCaps w:val="0"/>
                <w:strike w:val="0"/>
                <w:sz w:val="16.600000381469727"/>
                <w:szCs w:val="16.600000381469727"/>
                <w:u w:val="none"/>
                <w:shd w:fill="auto" w:val="clear"/>
                <w:vertAlign w:val="baseline"/>
                <w:rtl w:val="0"/>
              </w:rPr>
              <w:t xml:space="preserve">Priority </w:t>
            </w:r>
          </w:p>
        </w:tc>
        <w:tc>
          <w:tcPr>
            <w:shd w:fill="auto" w:val="clear"/>
            <w:tcMar>
              <w:top w:w="100.0" w:type="dxa"/>
              <w:left w:w="100.0" w:type="dxa"/>
              <w:bottom w:w="100.0" w:type="dxa"/>
              <w:right w:w="100.0" w:type="dxa"/>
            </w:tcMar>
            <w:vAlign w:val="top"/>
          </w:tcPr>
          <w:p w:rsidR="00000000" w:rsidDel="00000000" w:rsidP="00000000" w:rsidRDefault="00000000" w:rsidRPr="00000000" w14:paraId="000001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3.32000732421875" w:right="0" w:firstLine="0"/>
              <w:jc w:val="left"/>
              <w:rPr>
                <w:rFonts w:ascii="Arial" w:cs="Arial" w:eastAsia="Arial" w:hAnsi="Arial"/>
                <w:b w:val="1"/>
                <w:bCs w:val="1"/>
                <w:i w:val="0"/>
                <w:iCs w:val="0"/>
                <w:smallCaps w:val="0"/>
                <w:strike w:val="0"/>
                <w:sz w:val="16.600000381469727"/>
                <w:szCs w:val="16.600000381469727"/>
                <w:u w:val="none"/>
                <w:shd w:fill="auto" w:val="clear"/>
                <w:vertAlign w:val="baseline"/>
              </w:rPr>
            </w:pPr>
            <w:r w:rsidDel="00000000" w:rsidR="00000000" w:rsidRPr="00000000">
              <w:rPr>
                <w:rFonts w:ascii="Arial" w:cs="Arial" w:eastAsia="Arial" w:hAnsi="Arial"/>
                <w:b w:val="1"/>
                <w:bCs w:val="1"/>
                <w:i w:val="0"/>
                <w:iCs w:val="0"/>
                <w:smallCaps w:val="0"/>
                <w:strike w:val="0"/>
                <w:sz w:val="16.600000381469727"/>
                <w:szCs w:val="16.600000381469727"/>
                <w:u w:val="none"/>
                <w:shd w:fill="auto" w:val="clear"/>
                <w:vertAlign w:val="baseline"/>
                <w:rtl w:val="0"/>
              </w:rPr>
              <w:t xml:space="preserve">Actions </w:t>
            </w:r>
          </w:p>
        </w:tc>
        <w:tc>
          <w:tcPr>
            <w:shd w:fill="auto" w:val="clear"/>
            <w:tcMar>
              <w:top w:w="100.0" w:type="dxa"/>
              <w:left w:w="100.0" w:type="dxa"/>
              <w:bottom w:w="100.0" w:type="dxa"/>
              <w:right w:w="100.0" w:type="dxa"/>
            </w:tcMar>
            <w:vAlign w:val="top"/>
          </w:tcPr>
          <w:p w:rsidR="00000000" w:rsidDel="00000000" w:rsidP="00000000" w:rsidRDefault="00000000" w:rsidRPr="00000000" w14:paraId="000001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65625" w:right="0" w:firstLine="0"/>
              <w:jc w:val="left"/>
              <w:rPr>
                <w:rFonts w:ascii="Arial" w:cs="Arial" w:eastAsia="Arial" w:hAnsi="Arial"/>
                <w:b w:val="1"/>
                <w:bCs w:val="1"/>
                <w:i w:val="0"/>
                <w:iCs w:val="0"/>
                <w:smallCaps w:val="0"/>
                <w:strike w:val="0"/>
                <w:sz w:val="16.600000381469727"/>
                <w:szCs w:val="16.600000381469727"/>
                <w:u w:val="none"/>
                <w:shd w:fill="auto" w:val="clear"/>
                <w:vertAlign w:val="baseline"/>
              </w:rPr>
            </w:pPr>
            <w:r w:rsidDel="00000000" w:rsidR="00000000" w:rsidRPr="00000000">
              <w:rPr>
                <w:rFonts w:ascii="Arial" w:cs="Arial" w:eastAsia="Arial" w:hAnsi="Arial"/>
                <w:b w:val="1"/>
                <w:bCs w:val="1"/>
                <w:i w:val="0"/>
                <w:iCs w:val="0"/>
                <w:smallCaps w:val="0"/>
                <w:strike w:val="0"/>
                <w:sz w:val="16.600000381469727"/>
                <w:szCs w:val="16.600000381469727"/>
                <w:u w:val="none"/>
                <w:shd w:fill="auto" w:val="clear"/>
                <w:vertAlign w:val="baseline"/>
                <w:rtl w:val="0"/>
              </w:rPr>
              <w:t xml:space="preserve">Why</w:t>
            </w:r>
          </w:p>
        </w:tc>
      </w:tr>
      <w:tr>
        <w:trPr>
          <w:cantSplit w:val="0"/>
          <w:trHeight w:val="576.00036621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3.760070800781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First </w:t>
            </w:r>
          </w:p>
        </w:tc>
        <w:tc>
          <w:tcPr>
            <w:shd w:fill="auto" w:val="clear"/>
            <w:tcMar>
              <w:top w:w="100.0" w:type="dxa"/>
              <w:left w:w="100.0" w:type="dxa"/>
              <w:bottom w:w="100.0" w:type="dxa"/>
              <w:right w:w="100.0" w:type="dxa"/>
            </w:tcMar>
            <w:vAlign w:val="top"/>
          </w:tcPr>
          <w:p w:rsidR="00000000" w:rsidDel="00000000" w:rsidP="00000000" w:rsidRDefault="00000000" w:rsidRPr="00000000" w14:paraId="000001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23220252990723" w:lineRule="auto"/>
              <w:ind w:left="116.39999389648438" w:right="279.281005859375" w:firstLine="5.4400634765625"/>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Blood pressure, physical activity, tobacco, diabetes and cholesterol care</w:t>
            </w:r>
          </w:p>
        </w:tc>
        <w:tc>
          <w:tcPr>
            <w:shd w:fill="auto" w:val="clear"/>
            <w:tcMar>
              <w:top w:w="100.0" w:type="dxa"/>
              <w:left w:w="100.0" w:type="dxa"/>
              <w:bottom w:w="100.0" w:type="dxa"/>
              <w:right w:w="100.0" w:type="dxa"/>
            </w:tcMar>
            <w:vAlign w:val="top"/>
          </w:tcPr>
          <w:p w:rsidR="00000000" w:rsidDel="00000000" w:rsidP="00000000" w:rsidRDefault="00000000" w:rsidRPr="00000000" w14:paraId="000001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23220252990723" w:lineRule="auto"/>
              <w:ind w:left="122.3199462890625" w:right="918.160400390625" w:hanging="10.0799560546875"/>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The only areas with strong WHO ratings and randomized-trial support</w:t>
            </w:r>
          </w:p>
        </w:tc>
      </w:tr>
      <w:tr>
        <w:trPr>
          <w:cantSplit w:val="0"/>
          <w:trHeight w:val="783.9999389648438"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7.83996582031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Second </w:t>
            </w:r>
          </w:p>
        </w:tc>
        <w:tc>
          <w:tcPr>
            <w:shd w:fill="auto" w:val="clear"/>
            <w:tcMar>
              <w:top w:w="100.0" w:type="dxa"/>
              <w:left w:w="100.0" w:type="dxa"/>
              <w:bottom w:w="100.0" w:type="dxa"/>
              <w:right w:w="100.0" w:type="dxa"/>
            </w:tcMar>
            <w:vAlign w:val="top"/>
          </w:tcPr>
          <w:p w:rsidR="00000000" w:rsidDel="00000000" w:rsidP="00000000" w:rsidRDefault="00000000" w:rsidRPr="00000000" w14:paraId="000001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2.12528228759766" w:lineRule="auto"/>
              <w:ind w:left="111.28005981445312" w:right="386.1614990234375" w:firstLine="11.0400390625"/>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Hearing and vision checks, sleep-apnea evaluation if symptomatic, depression screening, dental care, adult vaccines</w:t>
            </w:r>
          </w:p>
        </w:tc>
        <w:tc>
          <w:tcPr>
            <w:shd w:fill="auto" w:val="clear"/>
            <w:tcMar>
              <w:top w:w="100.0" w:type="dxa"/>
              <w:left w:w="100.0" w:type="dxa"/>
              <w:bottom w:w="100.0" w:type="dxa"/>
              <w:right w:w="100.0" w:type="dxa"/>
            </w:tcMar>
            <w:vAlign w:val="top"/>
          </w:tcPr>
          <w:p w:rsidR="00000000" w:rsidDel="00000000" w:rsidP="00000000" w:rsidRDefault="00000000" w:rsidRPr="00000000" w14:paraId="000001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23220252990723" w:lineRule="auto"/>
              <w:ind w:left="119.27978515625" w:right="286.640625" w:firstLine="2.8802490234375"/>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Large PAFs or Grade B screening, with clear benefits beyond brain health</w:t>
            </w:r>
          </w:p>
        </w:tc>
      </w:tr>
      <w:tr>
        <w:trPr>
          <w:cantSplit w:val="0"/>
          <w:trHeight w:val="575.9999084472656"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23999023437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Third </w:t>
            </w:r>
          </w:p>
        </w:tc>
        <w:tc>
          <w:tcPr>
            <w:shd w:fill="auto" w:val="clear"/>
            <w:tcMar>
              <w:top w:w="100.0" w:type="dxa"/>
              <w:left w:w="100.0" w:type="dxa"/>
              <w:bottom w:w="100.0" w:type="dxa"/>
              <w:right w:w="100.0" w:type="dxa"/>
            </w:tcMar>
            <w:vAlign w:val="top"/>
          </w:tcPr>
          <w:p w:rsidR="00000000" w:rsidDel="00000000" w:rsidP="00000000" w:rsidRDefault="00000000" w:rsidRPr="00000000" w14:paraId="000001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23205947875977" w:lineRule="auto"/>
              <w:ind w:left="112.239990234375" w:right="155.120849609375" w:firstLine="9.600067138671875"/>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Bedroom HEPA filter, kitchen venting, damp repair, water testing, fiber and fermented foods</w:t>
            </w:r>
          </w:p>
        </w:tc>
        <w:tc>
          <w:tcPr>
            <w:shd w:fill="auto" w:val="clear"/>
            <w:tcMar>
              <w:top w:w="100.0" w:type="dxa"/>
              <w:left w:w="100.0" w:type="dxa"/>
              <w:bottom w:w="100.0" w:type="dxa"/>
              <w:right w:w="100.0" w:type="dxa"/>
            </w:tcMar>
            <w:vAlign w:val="top"/>
          </w:tcPr>
          <w:p w:rsidR="00000000" w:rsidDel="00000000" w:rsidP="00000000" w:rsidRDefault="00000000" w:rsidRPr="00000000" w14:paraId="000001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23205947875977" w:lineRule="auto"/>
              <w:ind w:left="115.5999755859375" w:right="437.6806640625" w:firstLine="6.56005859375"/>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Low risk, proven intermediate effects, but unproven dementia-specific effect</w:t>
            </w:r>
          </w:p>
        </w:tc>
      </w:tr>
    </w:tbl>
    <w:p w:rsidR="00000000" w:rsidDel="00000000" w:rsidP="00000000" w:rsidRDefault="00000000" w:rsidRPr="00000000" w14:paraId="000001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1.25999450683594" w:right="0" w:firstLine="0"/>
        <w:jc w:val="left"/>
        <w:rPr>
          <w:rFonts w:ascii="Arial" w:cs="Arial" w:eastAsia="Arial" w:hAnsi="Arial"/>
          <w:b w:val="1"/>
          <w:bCs w:val="1"/>
          <w:i w:val="0"/>
          <w:iCs w:val="0"/>
          <w:smallCaps w:val="0"/>
          <w:strike w:val="0"/>
          <w:color w:val="1b3a4b"/>
          <w:sz w:val="34"/>
          <w:szCs w:val="34"/>
          <w:u w:val="none"/>
          <w:shd w:fill="auto" w:val="clear"/>
          <w:vertAlign w:val="baseline"/>
        </w:rPr>
      </w:pPr>
      <w:r w:rsidDel="00000000" w:rsidR="00000000" w:rsidRPr="00000000">
        <w:rPr>
          <w:rFonts w:ascii="Arial" w:cs="Arial" w:eastAsia="Arial" w:hAnsi="Arial"/>
          <w:b w:val="1"/>
          <w:bCs w:val="1"/>
          <w:i w:val="0"/>
          <w:iCs w:val="0"/>
          <w:smallCaps w:val="0"/>
          <w:strike w:val="0"/>
          <w:color w:val="1b3a4b"/>
          <w:sz w:val="34"/>
          <w:szCs w:val="34"/>
          <w:u w:val="none"/>
          <w:shd w:fill="auto" w:val="clear"/>
          <w:vertAlign w:val="baseline"/>
          <w:rtl w:val="0"/>
        </w:rPr>
        <w:t xml:space="preserve">Section 6: Hormones and Prescription Medicines </w:t>
      </w:r>
    </w:p>
    <w:p w:rsidR="00000000" w:rsidDel="00000000" w:rsidP="00000000" w:rsidRDefault="00000000" w:rsidRPr="00000000" w14:paraId="000001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3.22021484375" w:line="284.0968608856201" w:lineRule="auto"/>
        <w:ind w:left="70.35003662109375" w:right="442.02880859375" w:firstLine="14.250030517578125"/>
        <w:jc w:val="left"/>
        <w:rPr>
          <w:rFonts w:ascii="Arial" w:cs="Arial" w:eastAsia="Arial" w:hAnsi="Arial"/>
          <w:b w:val="0"/>
          <w:bCs w:val="0"/>
          <w:i w:val="0"/>
          <w:iCs w:val="0"/>
          <w:smallCaps w:val="0"/>
          <w:strike w:val="0"/>
          <w:color w:val="1b3a4b"/>
          <w:sz w:val="19"/>
          <w:szCs w:val="19"/>
          <w:u w:val="none"/>
          <w:shd w:fill="auto" w:val="clear"/>
          <w:vertAlign w:val="baseline"/>
        </w:rPr>
      </w:pPr>
      <w:r w:rsidDel="00000000" w:rsidR="00000000" w:rsidRPr="00000000">
        <w:rPr>
          <w:rFonts w:ascii="Arial" w:cs="Arial" w:eastAsia="Arial" w:hAnsi="Arial"/>
          <w:b w:val="1"/>
          <w:bCs w:val="1"/>
          <w:i w:val="0"/>
          <w:iCs w:val="0"/>
          <w:smallCaps w:val="0"/>
          <w:strike w:val="0"/>
          <w:color w:val="1b3a4b"/>
          <w:sz w:val="19"/>
          <w:szCs w:val="19"/>
          <w:u w:val="none"/>
          <w:shd w:fill="auto" w:val="clear"/>
          <w:vertAlign w:val="baseline"/>
          <w:rtl w:val="0"/>
        </w:rPr>
        <w:t xml:space="preserve">This is education, not medical advice. </w:t>
      </w:r>
      <w:r w:rsidDel="00000000" w:rsidR="00000000" w:rsidRPr="00000000">
        <w:rPr>
          <w:rFonts w:ascii="Arial" w:cs="Arial" w:eastAsia="Arial" w:hAnsi="Arial"/>
          <w:b w:val="0"/>
          <w:bCs w:val="0"/>
          <w:i w:val="0"/>
          <w:iCs w:val="0"/>
          <w:smallCaps w:val="0"/>
          <w:strike w:val="0"/>
          <w:color w:val="1b3a4b"/>
          <w:sz w:val="19"/>
          <w:szCs w:val="19"/>
          <w:u w:val="none"/>
          <w:shd w:fill="auto" w:val="clear"/>
          <w:vertAlign w:val="baseline"/>
          <w:rtl w:val="0"/>
        </w:rPr>
        <w:t xml:space="preserve">Anyone noticing memory or thinking changes should get a professional medical evaluation. Never start or stop a prescription based on this program. </w:t>
      </w:r>
    </w:p>
    <w:p w:rsidR="00000000" w:rsidDel="00000000" w:rsidP="00000000" w:rsidRDefault="00000000" w:rsidRPr="00000000" w14:paraId="000001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3.360595703125" w:line="240" w:lineRule="auto"/>
        <w:ind w:left="77.760009765625" w:right="0" w:firstLine="0"/>
        <w:jc w:val="left"/>
        <w:rPr>
          <w:i w:val="0"/>
          <w:iCs w:val="0"/>
          <w:smallCaps w:val="0"/>
          <w:strike w:val="0"/>
          <w:color w:val="0f6b5c"/>
          <w:sz w:val="26"/>
          <w:szCs w:val="26"/>
          <w:u w:val="none"/>
          <w:shd w:fill="auto" w:val="clear"/>
          <w:vertAlign w:val="baseline"/>
        </w:rPr>
      </w:pPr>
      <w:r w:rsidDel="00000000" w:rsidR="00000000" w:rsidRPr="00000000">
        <w:rPr>
          <w:rFonts w:ascii="Arial" w:cs="Arial" w:eastAsia="Arial" w:hAnsi="Arial"/>
          <w:b w:val="1"/>
          <w:bCs w:val="1"/>
          <w:i w:val="0"/>
          <w:iCs w:val="0"/>
          <w:smallCaps w:val="0"/>
          <w:strike w:val="0"/>
          <w:color w:val="0f6b5c"/>
          <w:sz w:val="26"/>
          <w:szCs w:val="26"/>
          <w:u w:val="none"/>
          <w:shd w:fill="auto" w:val="clear"/>
          <w:vertAlign w:val="baseline"/>
          <w:rtl w:val="0"/>
        </w:rPr>
        <w:t xml:space="preserve">Part 1: Hormones, a Careful and Balanced Review</w:t>
      </w:r>
      <w:r w:rsidDel="00000000" w:rsidR="00000000" w:rsidRPr="00000000">
        <w:rPr>
          <w:i w:val="0"/>
          <w:iCs w:val="0"/>
          <w:smallCaps w:val="0"/>
          <w:strike w:val="0"/>
          <w:color w:val="0f6b5c"/>
          <w:sz w:val="26"/>
          <w:szCs w:val="26"/>
          <w:u w:val="none"/>
          <w:shd w:fill="auto" w:val="clear"/>
          <w:vertAlign w:val="baseline"/>
          <w:rtl w:val="0"/>
        </w:rPr>
        <w:t xml:space="preserve"> </w:t>
      </w:r>
      <w:r w:rsidDel="00000000" w:rsidR="00000000" w:rsidRPr="00000000">
        <w:rPr>
          <w:color w:val="0f6b5c"/>
          <w:sz w:val="26"/>
          <w:szCs w:val="26"/>
          <w:rtl w:val="0"/>
        </w:rPr>
        <w:t xml:space="preserve">Discuss with your doctor</w:t>
      </w:r>
      <w:r w:rsidDel="00000000" w:rsidR="00000000" w:rsidRPr="00000000">
        <w:rPr>
          <w:rtl w:val="0"/>
        </w:rPr>
      </w:r>
    </w:p>
    <w:p w:rsidR="00000000" w:rsidDel="00000000" w:rsidP="00000000" w:rsidRDefault="00000000" w:rsidRPr="00000000" w14:paraId="000001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6.57958984375" w:line="240" w:lineRule="auto"/>
        <w:ind w:left="75.20004272460938"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Estrogen, progesterone, testosterone, and thyroid hormone all act on brain cells — that biology is real. </w:t>
      </w:r>
    </w:p>
    <w:p w:rsidR="00000000" w:rsidDel="00000000" w:rsidP="00000000" w:rsidRDefault="00000000" w:rsidRPr="00000000" w14:paraId="000001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6.600341796875" w:line="289.88402366638184" w:lineRule="auto"/>
        <w:ind w:left="64.4000244140625" w:right="38.00048828125" w:firstLine="8.799972534179688"/>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Estrogen therapy.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 2023 review looked at whether estrogen therapy protects women against Alzheimer's and dementia after menopause and concluded estrogen appears to have several potentially protective effects, including reducing inflammation and oxidative stress and supporting memory-related brain regions. Timing matters: estrogen therapy may be more beneficial when started around perimenopause or within the first several years after menopause rather than much later. Progesterone is usually taken alongside estrogen to lower cancer risk. Human evidence remains mixed, and the 2026 WHO guideline recommends against hormone therapy specifically for dementia risk reduction. </w:t>
      </w:r>
    </w:p>
    <w:p w:rsidR="00000000" w:rsidDel="00000000" w:rsidP="00000000" w:rsidRDefault="00000000" w:rsidRPr="00000000" w14:paraId="000001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5.030517578125" w:line="289.88402366638184" w:lineRule="auto"/>
        <w:ind w:left="60.800018310546875" w:right="74.20166015625"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Thyroid hormone.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Recent studies show a significant link between thyroid hormone levels and dementia risk. Adults 65 and older with a history of hypothyroidism have an increased dementia risk, with some studies reporting an 81% higher risk. Those requiring thyroid hormone replacement therapy face an even greater risk, suggesting thyroid dysfunction may play a role in cognitive decline. This makes routine TSH testing worthwhile, even though USPSTF gives it an "I" (insufficient evidence) statement for screening and treating purely to improve cognition. </w:t>
      </w:r>
    </w:p>
    <w:p w:rsidR="00000000" w:rsidDel="00000000" w:rsidP="00000000" w:rsidRDefault="00000000" w:rsidRPr="00000000" w14:paraId="000001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5.0299072265625" w:line="289.88402366638184" w:lineRule="auto"/>
        <w:ind w:left="60.800018310546875" w:right="38.0029296875"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Testosterone.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Higher plasma testosterone concentration was associated with worse cognition in some studies, while higher testosterone was separately linked to fewer behavioral and psychological symptoms — a genuinely mixed picture that does not support supplementation for brain health.</w:t>
      </w:r>
    </w:p>
    <w:p w:rsidR="00000000" w:rsidDel="00000000" w:rsidP="00000000" w:rsidRDefault="00000000" w:rsidRPr="00000000" w14:paraId="000001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7.760009765625" w:right="0" w:firstLine="0"/>
        <w:jc w:val="left"/>
        <w:rPr>
          <w:rFonts w:ascii="Arial" w:cs="Arial" w:eastAsia="Arial" w:hAnsi="Arial"/>
          <w:b w:val="1"/>
          <w:bCs w:val="1"/>
          <w:i w:val="0"/>
          <w:iCs w:val="0"/>
          <w:smallCaps w:val="0"/>
          <w:strike w:val="0"/>
          <w:color w:val="0f6b5c"/>
          <w:sz w:val="26"/>
          <w:szCs w:val="26"/>
          <w:u w:val="none"/>
          <w:shd w:fill="auto" w:val="clear"/>
          <w:vertAlign w:val="baseline"/>
        </w:rPr>
      </w:pPr>
      <w:r w:rsidDel="00000000" w:rsidR="00000000" w:rsidRPr="00000000">
        <w:rPr>
          <w:rFonts w:ascii="Arial" w:cs="Arial" w:eastAsia="Arial" w:hAnsi="Arial"/>
          <w:b w:val="1"/>
          <w:bCs w:val="1"/>
          <w:i w:val="0"/>
          <w:iCs w:val="0"/>
          <w:smallCaps w:val="0"/>
          <w:strike w:val="0"/>
          <w:color w:val="0f6b5c"/>
          <w:sz w:val="26"/>
          <w:szCs w:val="26"/>
          <w:u w:val="none"/>
          <w:shd w:fill="auto" w:val="clear"/>
          <w:vertAlign w:val="baseline"/>
          <w:rtl w:val="0"/>
        </w:rPr>
        <w:t xml:space="preserve">Part 2: Prescription Medicines — Clinician-Managed Options Only </w:t>
      </w:r>
    </w:p>
    <w:p w:rsidR="00000000" w:rsidDel="00000000" w:rsidP="00000000" w:rsidRDefault="00000000" w:rsidRPr="00000000" w14:paraId="000001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6.57958984375" w:line="289.88402366638184" w:lineRule="auto"/>
        <w:ind w:left="60.800018310546875" w:right="37.999267578125" w:firstLine="12.39997863769531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Bottom line: no prescription drug is approved anywhere to prevent dementia in the general population.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Everything below is a question for a prescriber, never an instruction. Hold on to one distinction: association means people who take a drug happen to get less dementia, which may be caused by the drug or by the kind of person who takes it. Proven prevention means a randomized trial assigned the drug at random and dementia went down. Almost everything below is the first kind. </w:t>
      </w:r>
    </w:p>
    <w:p w:rsidR="00000000" w:rsidDel="00000000" w:rsidP="00000000" w:rsidRDefault="00000000" w:rsidRPr="00000000" w14:paraId="000001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5.030517578125" w:line="240" w:lineRule="auto"/>
        <w:ind w:left="74.72000122070312" w:right="0" w:firstLine="0"/>
        <w:jc w:val="left"/>
        <w:rPr>
          <w:rFonts w:ascii="Arial" w:cs="Arial" w:eastAsia="Arial" w:hAnsi="Arial"/>
          <w:b w:val="1"/>
          <w:bCs w:val="1"/>
          <w:i w:val="0"/>
          <w:iCs w:val="0"/>
          <w:smallCaps w:val="0"/>
          <w:strike w:val="0"/>
          <w:color w:val="b8863b"/>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b8863b"/>
          <w:sz w:val="22"/>
          <w:szCs w:val="22"/>
          <w:u w:val="none"/>
          <w:shd w:fill="auto" w:val="clear"/>
          <w:vertAlign w:val="baseline"/>
          <w:rtl w:val="0"/>
        </w:rPr>
        <w:t xml:space="preserve">Blood-Pressure Medicines  </w:t>
      </w:r>
    </w:p>
    <w:p w:rsidR="00000000" w:rsidDel="00000000" w:rsidP="00000000" w:rsidRDefault="00000000" w:rsidRPr="00000000" w14:paraId="000001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3.260498046875" w:line="289.88402366638184" w:lineRule="auto"/>
        <w:ind w:left="67.80006408691406" w:right="218.0029296875" w:firstLine="5.399932861328125"/>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Lowering blood pressure reduces damage to small brain vessels, white-matter injury, and stroke. Across five placebo-controlled trials, 53% of the benefit was attributable to the blood-pressure drop itself (range 27-76%). SPRINT MIND randomized 9,361 adults 50+ to a systolic target below 120 vs below 140. </w:t>
      </w:r>
    </w:p>
    <w:tbl>
      <w:tblPr>
        <w:tblStyle w:val="Table16"/>
        <w:tblW w:w="9648.000183105469" w:type="dxa"/>
        <w:jc w:val="left"/>
        <w:tblInd w:w="144.00009155273438"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600"/>
        <w:gridCol w:w="6048.000183105469"/>
        <w:tblGridChange w:id="0">
          <w:tblGrid>
            <w:gridCol w:w="3600"/>
            <w:gridCol w:w="6048.000183105469"/>
          </w:tblGrid>
        </w:tblGridChange>
      </w:tblGrid>
      <w:tr>
        <w:trPr>
          <w:cantSplit w:val="0"/>
          <w:trHeight w:val="368.0004882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615966796875" w:right="0" w:firstLine="0"/>
              <w:jc w:val="left"/>
              <w:rPr>
                <w:rFonts w:ascii="Arial" w:cs="Arial" w:eastAsia="Arial" w:hAnsi="Arial"/>
                <w:b w:val="1"/>
                <w:bCs w:val="1"/>
                <w:i w:val="0"/>
                <w:iCs w:val="0"/>
                <w:smallCaps w:val="0"/>
                <w:strike w:val="0"/>
                <w:sz w:val="16.600000381469727"/>
                <w:szCs w:val="16.600000381469727"/>
                <w:u w:val="none"/>
                <w:shd w:fill="auto" w:val="clear"/>
                <w:vertAlign w:val="baseline"/>
              </w:rPr>
            </w:pPr>
            <w:r w:rsidDel="00000000" w:rsidR="00000000" w:rsidRPr="00000000">
              <w:rPr>
                <w:rFonts w:ascii="Arial" w:cs="Arial" w:eastAsia="Arial" w:hAnsi="Arial"/>
                <w:b w:val="1"/>
                <w:bCs w:val="1"/>
                <w:i w:val="0"/>
                <w:iCs w:val="0"/>
                <w:smallCaps w:val="0"/>
                <w:strike w:val="0"/>
                <w:sz w:val="16.600000381469727"/>
                <w:szCs w:val="16.600000381469727"/>
                <w:u w:val="none"/>
                <w:shd w:fill="auto" w:val="clear"/>
                <w:vertAlign w:val="baseline"/>
                <w:rtl w:val="0"/>
              </w:rPr>
              <w:t xml:space="preserve">Endpoint (median 6.9 yrs) </w:t>
            </w:r>
          </w:p>
        </w:tc>
        <w:tc>
          <w:tcPr>
            <w:shd w:fill="auto" w:val="clear"/>
            <w:tcMar>
              <w:top w:w="100.0" w:type="dxa"/>
              <w:left w:w="100.0" w:type="dxa"/>
              <w:bottom w:w="100.0" w:type="dxa"/>
              <w:right w:w="100.0" w:type="dxa"/>
            </w:tcMar>
            <w:vAlign w:val="top"/>
          </w:tcPr>
          <w:p w:rsidR="00000000" w:rsidDel="00000000" w:rsidP="00000000" w:rsidRDefault="00000000" w:rsidRPr="00000000" w14:paraId="000001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615966796875" w:right="0" w:firstLine="0"/>
              <w:jc w:val="left"/>
              <w:rPr>
                <w:rFonts w:ascii="Arial" w:cs="Arial" w:eastAsia="Arial" w:hAnsi="Arial"/>
                <w:b w:val="1"/>
                <w:bCs w:val="1"/>
                <w:i w:val="0"/>
                <w:iCs w:val="0"/>
                <w:smallCaps w:val="0"/>
                <w:strike w:val="0"/>
                <w:sz w:val="16.600000381469727"/>
                <w:szCs w:val="16.600000381469727"/>
                <w:u w:val="none"/>
                <w:shd w:fill="auto" w:val="clear"/>
                <w:vertAlign w:val="baseline"/>
              </w:rPr>
            </w:pPr>
            <w:r w:rsidDel="00000000" w:rsidR="00000000" w:rsidRPr="00000000">
              <w:rPr>
                <w:rFonts w:ascii="Arial" w:cs="Arial" w:eastAsia="Arial" w:hAnsi="Arial"/>
                <w:b w:val="1"/>
                <w:bCs w:val="1"/>
                <w:i w:val="0"/>
                <w:iCs w:val="0"/>
                <w:smallCaps w:val="0"/>
                <w:strike w:val="0"/>
                <w:sz w:val="16.600000381469727"/>
                <w:szCs w:val="16.600000381469727"/>
                <w:u w:val="none"/>
                <w:shd w:fill="auto" w:val="clear"/>
                <w:vertAlign w:val="baseline"/>
                <w:rtl w:val="0"/>
              </w:rPr>
              <w:t xml:space="preserve">Result</w:t>
            </w:r>
          </w:p>
        </w:tc>
      </w:tr>
      <w:tr>
        <w:trPr>
          <w:cantSplit w:val="0"/>
          <w:trHeight w:val="367.99926757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3.760070800781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Probable dementia </w:t>
            </w:r>
          </w:p>
        </w:tc>
        <w:tc>
          <w:tcPr>
            <w:shd w:fill="auto" w:val="clear"/>
            <w:tcMar>
              <w:top w:w="100.0" w:type="dxa"/>
              <w:left w:w="100.0" w:type="dxa"/>
              <w:bottom w:w="100.0" w:type="dxa"/>
              <w:right w:w="100.0" w:type="dxa"/>
            </w:tcMar>
            <w:vAlign w:val="top"/>
          </w:tcPr>
          <w:p w:rsidR="00000000" w:rsidDel="00000000" w:rsidP="00000000" w:rsidRDefault="00000000" w:rsidRPr="00000000" w14:paraId="000002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1598510742187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248 vs 293 cases; HR 0.86 (0.72-1.02), p=0.08</w:t>
            </w:r>
          </w:p>
        </w:tc>
      </w:tr>
      <w:tr>
        <w:trPr>
          <w:cantSplit w:val="0"/>
          <w:trHeight w:val="368.0004882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679992675781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Mild cognitive impairment </w:t>
            </w:r>
          </w:p>
        </w:tc>
        <w:tc>
          <w:tcPr>
            <w:shd w:fill="auto" w:val="clear"/>
            <w:tcMar>
              <w:top w:w="100.0" w:type="dxa"/>
              <w:left w:w="100.0" w:type="dxa"/>
              <w:bottom w:w="100.0" w:type="dxa"/>
              <w:right w:w="100.0" w:type="dxa"/>
            </w:tcMar>
            <w:vAlign w:val="top"/>
          </w:tcPr>
          <w:p w:rsidR="00000000" w:rsidDel="00000000" w:rsidP="00000000" w:rsidRDefault="00000000" w:rsidRPr="00000000" w14:paraId="000002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44006347656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380 vs 430 cases; HR 0.87 (0.76-1.00), p=0.04</w:t>
            </w:r>
          </w:p>
        </w:tc>
      </w:tr>
      <w:tr>
        <w:trPr>
          <w:cantSplit w:val="0"/>
          <w:trHeight w:val="367.99987792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679992675781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MCI or probable dementia </w:t>
            </w:r>
          </w:p>
        </w:tc>
        <w:tc>
          <w:tcPr>
            <w:shd w:fill="auto" w:val="clear"/>
            <w:tcMar>
              <w:top w:w="100.0" w:type="dxa"/>
              <w:left w:w="100.0" w:type="dxa"/>
              <w:bottom w:w="100.0" w:type="dxa"/>
              <w:right w:w="100.0" w:type="dxa"/>
            </w:tcMar>
            <w:vAlign w:val="top"/>
          </w:tcPr>
          <w:p w:rsidR="00000000" w:rsidDel="00000000" w:rsidP="00000000" w:rsidRDefault="00000000" w:rsidRPr="00000000" w14:paraId="000002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119934082031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555 vs 622 cases; HR 0.89 (0.79-0.99), p=0.04</w:t>
            </w:r>
          </w:p>
        </w:tc>
      </w:tr>
    </w:tbl>
    <w:p w:rsidR="00000000" w:rsidDel="00000000" w:rsidP="00000000" w:rsidRDefault="00000000" w:rsidRPr="00000000" w14:paraId="000002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9.88402366638184" w:lineRule="auto"/>
        <w:ind w:left="58.000030517578125" w:right="84.80224609375" w:firstLine="17.20001220703125"/>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Pooled across 14 trials and 96,158 participants, dementia or cognitive impairment showed OR 0.93 (0.88-0.98) — an absolute reduction of just 0.39%. Consistent, but modest. </w:t>
      </w:r>
    </w:p>
    <w:p w:rsidR="00000000" w:rsidDel="00000000" w:rsidP="00000000" w:rsidRDefault="00000000" w:rsidRPr="00000000" w14:paraId="000002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5.0299072265625" w:line="240" w:lineRule="auto"/>
        <w:ind w:left="66.58004760742188" w:right="0" w:firstLine="0"/>
        <w:jc w:val="left"/>
        <w:rPr>
          <w:rFonts w:ascii="Arial" w:cs="Arial" w:eastAsia="Arial" w:hAnsi="Arial"/>
          <w:b w:val="1"/>
          <w:bCs w:val="1"/>
          <w:i w:val="0"/>
          <w:iCs w:val="0"/>
          <w:smallCaps w:val="0"/>
          <w:strike w:val="0"/>
          <w:color w:val="b8863b"/>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b8863b"/>
          <w:sz w:val="22"/>
          <w:szCs w:val="22"/>
          <w:u w:val="none"/>
          <w:shd w:fill="auto" w:val="clear"/>
          <w:vertAlign w:val="baseline"/>
          <w:rtl w:val="0"/>
        </w:rPr>
        <w:t xml:space="preserve">Statins and Other Lipid-Lowering Drugs </w:t>
      </w:r>
    </w:p>
    <w:p w:rsidR="00000000" w:rsidDel="00000000" w:rsidP="00000000" w:rsidRDefault="00000000" w:rsidRPr="00000000" w14:paraId="000002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3.2598876953125" w:line="240" w:lineRule="auto"/>
        <w:ind w:left="60.800018310546875"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This is the clearest lesson in the difference between association and proof. </w:t>
      </w:r>
    </w:p>
    <w:tbl>
      <w:tblPr>
        <w:tblStyle w:val="Table17"/>
        <w:tblW w:w="9648.000183105469" w:type="dxa"/>
        <w:jc w:val="left"/>
        <w:tblInd w:w="144.00009155273438"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896.000061035156"/>
        <w:gridCol w:w="4752.0001220703125"/>
        <w:tblGridChange w:id="0">
          <w:tblGrid>
            <w:gridCol w:w="4896.000061035156"/>
            <w:gridCol w:w="4752.0001220703125"/>
          </w:tblGrid>
        </w:tblGridChange>
      </w:tblGrid>
      <w:tr>
        <w:trPr>
          <w:cantSplit w:val="0"/>
          <w:trHeight w:val="368.0004882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615966796875" w:right="0" w:firstLine="0"/>
              <w:jc w:val="left"/>
              <w:rPr>
                <w:rFonts w:ascii="Arial" w:cs="Arial" w:eastAsia="Arial" w:hAnsi="Arial"/>
                <w:b w:val="1"/>
                <w:bCs w:val="1"/>
                <w:i w:val="0"/>
                <w:iCs w:val="0"/>
                <w:smallCaps w:val="0"/>
                <w:strike w:val="0"/>
                <w:sz w:val="16.600000381469727"/>
                <w:szCs w:val="16.600000381469727"/>
                <w:u w:val="none"/>
                <w:shd w:fill="auto" w:val="clear"/>
                <w:vertAlign w:val="baseline"/>
              </w:rPr>
            </w:pPr>
            <w:r w:rsidDel="00000000" w:rsidR="00000000" w:rsidRPr="00000000">
              <w:rPr>
                <w:rFonts w:ascii="Arial" w:cs="Arial" w:eastAsia="Arial" w:hAnsi="Arial"/>
                <w:b w:val="1"/>
                <w:bCs w:val="1"/>
                <w:i w:val="0"/>
                <w:iCs w:val="0"/>
                <w:smallCaps w:val="0"/>
                <w:strike w:val="0"/>
                <w:sz w:val="16.600000381469727"/>
                <w:szCs w:val="16.600000381469727"/>
                <w:u w:val="none"/>
                <w:shd w:fill="auto" w:val="clear"/>
                <w:vertAlign w:val="baseline"/>
                <w:rtl w:val="0"/>
              </w:rPr>
              <w:t xml:space="preserve">Design </w:t>
            </w:r>
          </w:p>
        </w:tc>
        <w:tc>
          <w:tcPr>
            <w:shd w:fill="auto" w:val="clear"/>
            <w:tcMar>
              <w:top w:w="100.0" w:type="dxa"/>
              <w:left w:w="100.0" w:type="dxa"/>
              <w:bottom w:w="100.0" w:type="dxa"/>
              <w:right w:w="100.0" w:type="dxa"/>
            </w:tcMar>
            <w:vAlign w:val="top"/>
          </w:tcPr>
          <w:p w:rsidR="00000000" w:rsidDel="00000000" w:rsidP="00000000" w:rsidRDefault="00000000" w:rsidRPr="00000000" w14:paraId="000002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615966796875" w:right="0" w:firstLine="0"/>
              <w:jc w:val="left"/>
              <w:rPr>
                <w:rFonts w:ascii="Arial" w:cs="Arial" w:eastAsia="Arial" w:hAnsi="Arial"/>
                <w:b w:val="1"/>
                <w:bCs w:val="1"/>
                <w:i w:val="0"/>
                <w:iCs w:val="0"/>
                <w:smallCaps w:val="0"/>
                <w:strike w:val="0"/>
                <w:sz w:val="16.600000381469727"/>
                <w:szCs w:val="16.600000381469727"/>
                <w:u w:val="none"/>
                <w:shd w:fill="auto" w:val="clear"/>
                <w:vertAlign w:val="baseline"/>
              </w:rPr>
            </w:pPr>
            <w:r w:rsidDel="00000000" w:rsidR="00000000" w:rsidRPr="00000000">
              <w:rPr>
                <w:rFonts w:ascii="Arial" w:cs="Arial" w:eastAsia="Arial" w:hAnsi="Arial"/>
                <w:b w:val="1"/>
                <w:bCs w:val="1"/>
                <w:i w:val="0"/>
                <w:iCs w:val="0"/>
                <w:smallCaps w:val="0"/>
                <w:strike w:val="0"/>
                <w:sz w:val="16.600000381469727"/>
                <w:szCs w:val="16.600000381469727"/>
                <w:u w:val="none"/>
                <w:shd w:fill="auto" w:val="clear"/>
                <w:vertAlign w:val="baseline"/>
                <w:rtl w:val="0"/>
              </w:rPr>
              <w:t xml:space="preserve">Result</w:t>
            </w:r>
          </w:p>
        </w:tc>
      </w:tr>
      <w:tr>
        <w:trPr>
          <w:cantSplit w:val="0"/>
          <w:trHeight w:val="367.99987792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2399291992187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Observational meta-analysis, 55 studies, over 7M patients </w:t>
            </w:r>
          </w:p>
        </w:tc>
        <w:tc>
          <w:tcPr>
            <w:shd w:fill="auto" w:val="clear"/>
            <w:tcMar>
              <w:top w:w="100.0" w:type="dxa"/>
              <w:left w:w="100.0" w:type="dxa"/>
              <w:bottom w:w="100.0" w:type="dxa"/>
              <w:right w:w="100.0" w:type="dxa"/>
            </w:tcMar>
            <w:vAlign w:val="top"/>
          </w:tcPr>
          <w:p w:rsidR="00000000" w:rsidDel="00000000" w:rsidP="00000000" w:rsidRDefault="00000000" w:rsidRPr="00000000" w14:paraId="000002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9602050781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Dementia HR 0.86 (0.82-0.91)</w:t>
            </w:r>
          </w:p>
        </w:tc>
      </w:tr>
      <w:tr>
        <w:trPr>
          <w:cantSplit w:val="0"/>
          <w:trHeight w:val="367.99987792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7.03994750976562"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Cochrane review of randomized trials, 26,340 participants </w:t>
            </w:r>
          </w:p>
        </w:tc>
        <w:tc>
          <w:tcPr>
            <w:shd w:fill="auto" w:val="clear"/>
            <w:tcMar>
              <w:top w:w="100.0" w:type="dxa"/>
              <w:left w:w="100.0" w:type="dxa"/>
              <w:bottom w:w="100.0" w:type="dxa"/>
              <w:right w:w="100.0" w:type="dxa"/>
            </w:tcMar>
            <w:vAlign w:val="top"/>
          </w:tcPr>
          <w:p w:rsidR="00000000" w:rsidDel="00000000" w:rsidP="00000000" w:rsidRDefault="00000000" w:rsidRPr="00000000" w14:paraId="000002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4.559936523437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Incident dementia OR 1.00 (0.61-1.65) — negative</w:t>
            </w:r>
          </w:p>
        </w:tc>
      </w:tr>
    </w:tbl>
    <w:p w:rsidR="00000000" w:rsidDel="00000000" w:rsidP="00000000" w:rsidRDefault="00000000" w:rsidRPr="00000000" w14:paraId="000002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9.88402366638184" w:lineRule="auto"/>
        <w:ind w:left="60.800018310546875" w:right="118.001708984375"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An apparent 14% reduction in observational data becomes zero when people are randomized, because statin users are healthier, more adherent, and live longer. The PROSPER trial found no effect in any cognitive domain. On the flip side, concern that statins harm memory doesn't hold up either: drug labels note rare, reversible postmarketing reports, and a meta-analysis of 27,643 people found cognitive scores differed by only 0.01 standardized units. PCSK9 inhibitors showed no cognitive difference from placebo in the EBBINGHAUS trial.</w:t>
      </w:r>
    </w:p>
    <w:p w:rsidR="00000000" w:rsidDel="00000000" w:rsidP="00000000" w:rsidRDefault="00000000" w:rsidRPr="00000000" w14:paraId="000002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4.72000122070312" w:right="0" w:firstLine="0"/>
        <w:jc w:val="left"/>
        <w:rPr>
          <w:rFonts w:ascii="Arial" w:cs="Arial" w:eastAsia="Arial" w:hAnsi="Arial"/>
          <w:b w:val="1"/>
          <w:bCs w:val="1"/>
          <w:i w:val="0"/>
          <w:iCs w:val="0"/>
          <w:smallCaps w:val="0"/>
          <w:strike w:val="0"/>
          <w:color w:val="b8863b"/>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b8863b"/>
          <w:sz w:val="22"/>
          <w:szCs w:val="22"/>
          <w:u w:val="none"/>
          <w:shd w:fill="auto" w:val="clear"/>
          <w:vertAlign w:val="baseline"/>
          <w:rtl w:val="0"/>
        </w:rPr>
        <w:t xml:space="preserve">Diabetes Medicines </w:t>
      </w:r>
    </w:p>
    <w:p w:rsidR="00000000" w:rsidDel="00000000" w:rsidP="00000000" w:rsidRDefault="00000000" w:rsidRPr="00000000" w14:paraId="000002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3.260498046875" w:line="278.5770606994629" w:lineRule="auto"/>
        <w:ind w:left="464.4000244140625" w:right="230.201416015625" w:hanging="403.3399963378906"/>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8.333333333333336"/>
          <w:szCs w:val="28.333333333333336"/>
          <w:u w:val="none"/>
          <w:shd w:fill="auto" w:val="clear"/>
          <w:vertAlign w:val="superscript"/>
          <w:rtl w:val="0"/>
        </w:rPr>
        <w:t xml:space="preserve">• </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Metformin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of 17 observational studies, 11 reported reduced dementia risk, but all 17 had time-related bias; the two studies addressing that bias most rigorously found no significant association. A larger 2024 design found metformin was not associated with incident dementia. The randomized METFINGER trial is still enrolling with no results yet </w:t>
      </w:r>
    </w:p>
    <w:p w:rsidR="00000000" w:rsidDel="00000000" w:rsidP="00000000" w:rsidRDefault="00000000" w:rsidRPr="00000000" w14:paraId="000002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3.360595703125" w:line="277.9375648498535" w:lineRule="auto"/>
        <w:ind w:left="460.8000183105469" w:right="102.6025390625" w:hanging="399.739990234375"/>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8.333333333333336"/>
          <w:szCs w:val="28.333333333333336"/>
          <w:u w:val="none"/>
          <w:shd w:fill="auto" w:val="clear"/>
          <w:vertAlign w:val="superscript"/>
          <w:rtl w:val="0"/>
        </w:rPr>
        <w:t xml:space="preserve">• </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Pioglitazone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tested in a randomized trial of 3,494 cognitively healthy adults 65-83; 2.7% vs 3.3% developed MCI due to Alzheimer's (HR 0.80, not significant), and the trial stopped for futility. It also carries fluid-retention and historical bladder-cancer concerns </w:t>
      </w:r>
    </w:p>
    <w:p w:rsidR="00000000" w:rsidDel="00000000" w:rsidP="00000000" w:rsidRDefault="00000000" w:rsidRPr="00000000" w14:paraId="000002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3.360595703125" w:line="277.9375648498535" w:lineRule="auto"/>
        <w:ind w:left="61.060028076171875" w:right="318.80126953125"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8.333333333333336"/>
          <w:szCs w:val="28.333333333333336"/>
          <w:u w:val="none"/>
          <w:shd w:fill="auto" w:val="clear"/>
          <w:vertAlign w:val="superscript"/>
          <w:rtl w:val="0"/>
        </w:rPr>
        <w:t xml:space="preserve">• </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SGLT2 inhibitors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in 110,885 matched Korean pairs, SGLT2 starters vs DPP4 starters had dementia HR 0.65 (0.58-0.73), the best observational signal in diabetes care — but follow-up averaged only 1.8 years and this compares two drugs, not drug versus no drug. No randomized cognitive trial exists </w:t>
      </w:r>
    </w:p>
    <w:p w:rsidR="00000000" w:rsidDel="00000000" w:rsidP="00000000" w:rsidRDefault="00000000" w:rsidRPr="00000000" w14:paraId="000002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3.360595703125" w:line="279.0962505340576" w:lineRule="auto"/>
        <w:ind w:left="460.2000427246094" w:right="130.399169921875" w:hanging="399.1400146484375"/>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8.333333333333336"/>
          <w:szCs w:val="28.333333333333336"/>
          <w:u w:val="none"/>
          <w:shd w:fill="auto" w:val="clear"/>
          <w:vertAlign w:val="superscript"/>
          <w:rtl w:val="0"/>
        </w:rPr>
        <w:t xml:space="preserve">• </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GLP-1 receptor agonists (including EVOKE)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GLP-1 receptors exist in the brain, and semaglutide cut major cardiovascular events by 20% in the SELECT trial. But EVOKE and EVOKE+ randomized 3,808 adults 55-85 with biomarker-confirmed MCI or mild Alzheimer's to oral semaglutide or placebo for two years; neither trial showed statistically significant slowing of progression, and the planned extension was discontinued. A cohort study found dementia HR 0.63, but follow-up was only 1.77 years with a large mortality gap suggesting confounding </w:t>
      </w:r>
    </w:p>
    <w:p w:rsidR="00000000" w:rsidDel="00000000" w:rsidP="00000000" w:rsidRDefault="00000000" w:rsidRPr="00000000" w14:paraId="000002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3.3599853515625" w:line="240" w:lineRule="auto"/>
        <w:ind w:left="73.18000793457031" w:right="0" w:firstLine="0"/>
        <w:jc w:val="left"/>
        <w:rPr>
          <w:rFonts w:ascii="Arial" w:cs="Arial" w:eastAsia="Arial" w:hAnsi="Arial"/>
          <w:b w:val="1"/>
          <w:bCs w:val="1"/>
          <w:i w:val="0"/>
          <w:iCs w:val="0"/>
          <w:smallCaps w:val="0"/>
          <w:strike w:val="0"/>
          <w:color w:val="b8863b"/>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b8863b"/>
          <w:sz w:val="22"/>
          <w:szCs w:val="22"/>
          <w:u w:val="none"/>
          <w:shd w:fill="auto" w:val="clear"/>
          <w:vertAlign w:val="baseline"/>
          <w:rtl w:val="0"/>
        </w:rPr>
        <w:t xml:space="preserve">Medications to Reconsider With Age (Anticholinergic Burden) </w:t>
      </w:r>
    </w:p>
    <w:p w:rsidR="00000000" w:rsidDel="00000000" w:rsidP="00000000" w:rsidRDefault="00000000" w:rsidRPr="00000000" w14:paraId="000002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3.2598876953125" w:line="289.88402366638184" w:lineRule="auto"/>
        <w:ind w:left="69.60006713867188" w:right="86.602783203125" w:hanging="8.800048828125"/>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 2023 American Geriatrics Society (AGS) Beers Criteria flag several drug classes as potentially inappropriate for adults 65 and over. "Potentially inappropriate" is not an absolute ban — the criteria should not be simplified as "avoid in everyone over 65." </w:t>
      </w:r>
    </w:p>
    <w:tbl>
      <w:tblPr>
        <w:tblStyle w:val="Table18"/>
        <w:tblW w:w="9648.000183105469" w:type="dxa"/>
        <w:jc w:val="left"/>
        <w:tblInd w:w="144.00009155273438"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600"/>
        <w:gridCol w:w="6048.000183105469"/>
        <w:tblGridChange w:id="0">
          <w:tblGrid>
            <w:gridCol w:w="3600"/>
            <w:gridCol w:w="6048.000183105469"/>
          </w:tblGrid>
        </w:tblGridChange>
      </w:tblGrid>
      <w:tr>
        <w:trPr>
          <w:cantSplit w:val="0"/>
          <w:trHeight w:val="367.99987792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615966796875" w:right="0" w:firstLine="0"/>
              <w:jc w:val="left"/>
              <w:rPr>
                <w:rFonts w:ascii="Arial" w:cs="Arial" w:eastAsia="Arial" w:hAnsi="Arial"/>
                <w:b w:val="1"/>
                <w:bCs w:val="1"/>
                <w:i w:val="0"/>
                <w:iCs w:val="0"/>
                <w:smallCaps w:val="0"/>
                <w:strike w:val="0"/>
                <w:sz w:val="16.600000381469727"/>
                <w:szCs w:val="16.600000381469727"/>
                <w:u w:val="none"/>
                <w:shd w:fill="auto" w:val="clear"/>
                <w:vertAlign w:val="baseline"/>
              </w:rPr>
            </w:pPr>
            <w:r w:rsidDel="00000000" w:rsidR="00000000" w:rsidRPr="00000000">
              <w:rPr>
                <w:rFonts w:ascii="Arial" w:cs="Arial" w:eastAsia="Arial" w:hAnsi="Arial"/>
                <w:b w:val="1"/>
                <w:bCs w:val="1"/>
                <w:i w:val="0"/>
                <w:iCs w:val="0"/>
                <w:smallCaps w:val="0"/>
                <w:strike w:val="0"/>
                <w:sz w:val="16.600000381469727"/>
                <w:szCs w:val="16.600000381469727"/>
                <w:u w:val="none"/>
                <w:shd w:fill="auto" w:val="clear"/>
                <w:vertAlign w:val="baseline"/>
                <w:rtl w:val="0"/>
              </w:rPr>
              <w:t xml:space="preserve">Drug group </w:t>
            </w:r>
          </w:p>
        </w:tc>
        <w:tc>
          <w:tcPr>
            <w:shd w:fill="auto" w:val="clear"/>
            <w:tcMar>
              <w:top w:w="100.0" w:type="dxa"/>
              <w:left w:w="100.0" w:type="dxa"/>
              <w:bottom w:w="100.0" w:type="dxa"/>
              <w:right w:w="100.0" w:type="dxa"/>
            </w:tcMar>
            <w:vAlign w:val="top"/>
          </w:tcPr>
          <w:p w:rsidR="00000000" w:rsidDel="00000000" w:rsidP="00000000" w:rsidRDefault="00000000" w:rsidRPr="00000000" w14:paraId="000002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615966796875" w:right="0" w:firstLine="0"/>
              <w:jc w:val="left"/>
              <w:rPr>
                <w:rFonts w:ascii="Arial" w:cs="Arial" w:eastAsia="Arial" w:hAnsi="Arial"/>
                <w:b w:val="1"/>
                <w:bCs w:val="1"/>
                <w:i w:val="0"/>
                <w:iCs w:val="0"/>
                <w:smallCaps w:val="0"/>
                <w:strike w:val="0"/>
                <w:sz w:val="16.600000381469727"/>
                <w:szCs w:val="16.600000381469727"/>
                <w:u w:val="none"/>
                <w:shd w:fill="auto" w:val="clear"/>
                <w:vertAlign w:val="baseline"/>
              </w:rPr>
            </w:pPr>
            <w:r w:rsidDel="00000000" w:rsidR="00000000" w:rsidRPr="00000000">
              <w:rPr>
                <w:rFonts w:ascii="Arial" w:cs="Arial" w:eastAsia="Arial" w:hAnsi="Arial"/>
                <w:b w:val="1"/>
                <w:bCs w:val="1"/>
                <w:i w:val="0"/>
                <w:iCs w:val="0"/>
                <w:smallCaps w:val="0"/>
                <w:strike w:val="0"/>
                <w:sz w:val="16.600000381469727"/>
                <w:szCs w:val="16.600000381469727"/>
                <w:u w:val="none"/>
                <w:shd w:fill="auto" w:val="clear"/>
                <w:vertAlign w:val="baseline"/>
                <w:rtl w:val="0"/>
              </w:rPr>
              <w:t xml:space="preserve">Recommendation and rationale</w:t>
            </w:r>
          </w:p>
        </w:tc>
      </w:tr>
      <w:tr>
        <w:trPr>
          <w:cantSplit w:val="0"/>
          <w:trHeight w:val="992.000122070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3.760070800781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First-generation antihistamines </w:t>
            </w:r>
          </w:p>
          <w:p w:rsidR="00000000" w:rsidDel="00000000" w:rsidP="00000000" w:rsidRDefault="00000000" w:rsidRPr="00000000" w14:paraId="000002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0.87997436523438"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(diphenhydramine, chlorpheniramine, </w:t>
            </w:r>
          </w:p>
          <w:p w:rsidR="00000000" w:rsidDel="00000000" w:rsidP="00000000" w:rsidRDefault="00000000" w:rsidRPr="00000000" w14:paraId="000002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23185920715332" w:lineRule="auto"/>
              <w:ind w:left="115.5999755859375" w:right="778.0001831054688" w:firstLine="4.799957275390625"/>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hydroxyzine, meclizine, promethazine, doxylamine)</w:t>
            </w:r>
          </w:p>
        </w:tc>
        <w:tc>
          <w:tcPr>
            <w:shd w:fill="auto" w:val="clear"/>
            <w:tcMar>
              <w:top w:w="100.0" w:type="dxa"/>
              <w:left w:w="100.0" w:type="dxa"/>
              <w:bottom w:w="100.0" w:type="dxa"/>
              <w:right w:w="100.0" w:type="dxa"/>
            </w:tcMar>
            <w:vAlign w:val="top"/>
          </w:tcPr>
          <w:p w:rsidR="00000000" w:rsidDel="00000000" w:rsidP="00000000" w:rsidRDefault="00000000" w:rsidRPr="00000000" w14:paraId="000002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23185920715332" w:lineRule="auto"/>
              <w:ind w:left="122.3199462890625" w:right="220.240478515625" w:hanging="10.0799560546875"/>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Avoid. Cumulative exposure to anticholinergic drugs is associated with increased risk of falls, delirium, and dementia, even in younger adults</w:t>
            </w:r>
          </w:p>
        </w:tc>
      </w:tr>
      <w:tr>
        <w:trPr>
          <w:cantSplit w:val="0"/>
          <w:trHeight w:val="784.00024414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1.0192060470581" w:lineRule="auto"/>
              <w:ind w:left="120.87997436523438" w:right="662.1603393554688" w:hanging="3.040008544921875"/>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Strongly anticholinergic antidepressants (amitriptyline, doxepin over 6mg/day, </w:t>
            </w:r>
          </w:p>
          <w:p w:rsidR="00000000" w:rsidDel="00000000" w:rsidP="00000000" w:rsidRDefault="00000000" w:rsidRPr="00000000" w14:paraId="000002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67529296875" w:line="240" w:lineRule="auto"/>
              <w:ind w:left="120.72006225585938"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imipramine, nortriptyline, paroxetine)</w:t>
            </w:r>
          </w:p>
        </w:tc>
        <w:tc>
          <w:tcPr>
            <w:shd w:fill="auto" w:val="clear"/>
            <w:tcMar>
              <w:top w:w="100.0" w:type="dxa"/>
              <w:left w:w="100.0" w:type="dxa"/>
              <w:bottom w:w="100.0" w:type="dxa"/>
              <w:right w:w="100.0" w:type="dxa"/>
            </w:tcMar>
            <w:vAlign w:val="top"/>
          </w:tcPr>
          <w:p w:rsidR="00000000" w:rsidDel="00000000" w:rsidP="00000000" w:rsidRDefault="00000000" w:rsidRPr="00000000" w14:paraId="000002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Avoid. Highly anticholinergic, sedating, and cause orthostatic blood-pressure drops</w:t>
            </w:r>
          </w:p>
        </w:tc>
      </w:tr>
      <w:tr>
        <w:trPr>
          <w:cantSplit w:val="0"/>
          <w:trHeight w:val="575.99975585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23185920715332" w:lineRule="auto"/>
              <w:ind w:left="116.39999389648438" w:right="199.76043701171875" w:hanging="4.160003662109375"/>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Any anticholinergic in someone with dementia, especially multiple at once</w:t>
            </w:r>
          </w:p>
        </w:tc>
        <w:tc>
          <w:tcPr>
            <w:shd w:fill="auto" w:val="clear"/>
            <w:tcMar>
              <w:top w:w="100.0" w:type="dxa"/>
              <w:left w:w="100.0" w:type="dxa"/>
              <w:bottom w:w="100.0" w:type="dxa"/>
              <w:right w:w="100.0" w:type="dxa"/>
            </w:tcMar>
            <w:vAlign w:val="top"/>
          </w:tcPr>
          <w:p w:rsidR="00000000" w:rsidDel="00000000" w:rsidP="00000000" w:rsidRDefault="00000000" w:rsidRPr="00000000" w14:paraId="000002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23185920715332" w:lineRule="auto"/>
              <w:ind w:left="115.5999755859375" w:right="256.08154296875" w:hanging="3.3599853515625"/>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Avoid; minimize the number. Multiple anticholinergics increase cognitive decline, delirium, and falls or fractures</w:t>
            </w:r>
          </w:p>
        </w:tc>
      </w:tr>
      <w:tr>
        <w:trPr>
          <w:cantSplit w:val="0"/>
          <w:trHeight w:val="783.9999389648438"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84005737304688"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Benzodiazepines </w:t>
            </w:r>
          </w:p>
        </w:tc>
        <w:tc>
          <w:tcPr>
            <w:shd w:fill="auto" w:val="clear"/>
            <w:tcMar>
              <w:top w:w="100.0" w:type="dxa"/>
              <w:left w:w="100.0" w:type="dxa"/>
              <w:bottom w:w="100.0" w:type="dxa"/>
              <w:right w:w="100.0" w:type="dxa"/>
            </w:tcMar>
            <w:vAlign w:val="top"/>
          </w:tcPr>
          <w:p w:rsidR="00000000" w:rsidDel="00000000" w:rsidP="00000000" w:rsidRDefault="00000000" w:rsidRPr="00000000" w14:paraId="000002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2.12519645690918" w:lineRule="auto"/>
              <w:ind w:left="115.11993408203125" w:right="451.92138671875" w:hanging="2.87994384765625"/>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Avoid generally — all benzodiazepines increase risk of cognitive impairment, delirium, falls, fractures, and motor-vehicle crashes in older adults. May still fit seizure disorders, REM sleep behavior disorder, withdrawal, or procedures</w:t>
            </w:r>
          </w:p>
        </w:tc>
      </w:tr>
    </w:tbl>
    <w:p w:rsidR="00000000" w:rsidDel="00000000" w:rsidP="00000000" w:rsidRDefault="00000000" w:rsidRPr="00000000" w14:paraId="000002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9.88402366638184" w:lineRule="auto"/>
        <w:ind w:left="65" w:right="765.401611328125" w:hanging="4.199981689453125"/>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 action is not "stop your medication." It is to bring your full medication and supplement list, including over-the-counter sleep aids and allergy pills, to a scheduled review with your prescriber or pharmacist.</w:t>
      </w:r>
    </w:p>
    <w:p w:rsidR="00000000" w:rsidDel="00000000" w:rsidP="00000000" w:rsidRDefault="00000000" w:rsidRPr="00000000" w14:paraId="000002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2.400054931640625" w:right="0" w:firstLine="0"/>
        <w:jc w:val="left"/>
        <w:rPr>
          <w:rFonts w:ascii="Arial" w:cs="Arial" w:eastAsia="Arial" w:hAnsi="Arial"/>
          <w:b w:val="1"/>
          <w:bCs w:val="1"/>
          <w:i w:val="0"/>
          <w:iCs w:val="0"/>
          <w:smallCaps w:val="0"/>
          <w:strike w:val="0"/>
          <w:color w:val="b8863b"/>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b8863b"/>
          <w:sz w:val="22"/>
          <w:szCs w:val="22"/>
          <w:u w:val="none"/>
          <w:shd w:fill="auto" w:val="clear"/>
          <w:vertAlign w:val="baseline"/>
          <w:rtl w:val="0"/>
        </w:rPr>
        <w:t xml:space="preserve">Aspirin, NSAIDs, and Antivirals — All Tested, All Failed </w:t>
      </w:r>
    </w:p>
    <w:tbl>
      <w:tblPr>
        <w:tblStyle w:val="Table19"/>
        <w:tblW w:w="9648.000183105469" w:type="dxa"/>
        <w:jc w:val="left"/>
        <w:tblInd w:w="144.00009155273438"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160"/>
        <w:gridCol w:w="2879.9996948242188"/>
        <w:gridCol w:w="4608.00048828125"/>
        <w:tblGridChange w:id="0">
          <w:tblGrid>
            <w:gridCol w:w="2160"/>
            <w:gridCol w:w="2879.9996948242188"/>
            <w:gridCol w:w="4608.00048828125"/>
          </w:tblGrid>
        </w:tblGridChange>
      </w:tblGrid>
      <w:tr>
        <w:trPr>
          <w:cantSplit w:val="0"/>
          <w:trHeight w:val="367.99926757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615966796875" w:right="0" w:firstLine="0"/>
              <w:jc w:val="left"/>
              <w:rPr>
                <w:rFonts w:ascii="Arial" w:cs="Arial" w:eastAsia="Arial" w:hAnsi="Arial"/>
                <w:b w:val="1"/>
                <w:bCs w:val="1"/>
                <w:i w:val="0"/>
                <w:iCs w:val="0"/>
                <w:smallCaps w:val="0"/>
                <w:strike w:val="0"/>
                <w:sz w:val="16.600000381469727"/>
                <w:szCs w:val="16.600000381469727"/>
                <w:u w:val="none"/>
                <w:shd w:fill="auto" w:val="clear"/>
                <w:vertAlign w:val="baseline"/>
              </w:rPr>
            </w:pPr>
            <w:r w:rsidDel="00000000" w:rsidR="00000000" w:rsidRPr="00000000">
              <w:rPr>
                <w:rFonts w:ascii="Arial" w:cs="Arial" w:eastAsia="Arial" w:hAnsi="Arial"/>
                <w:b w:val="1"/>
                <w:bCs w:val="1"/>
                <w:i w:val="0"/>
                <w:iCs w:val="0"/>
                <w:smallCaps w:val="0"/>
                <w:strike w:val="0"/>
                <w:sz w:val="16.600000381469727"/>
                <w:szCs w:val="16.600000381469727"/>
                <w:u w:val="none"/>
                <w:shd w:fill="auto" w:val="clear"/>
                <w:vertAlign w:val="baseline"/>
                <w:rtl w:val="0"/>
              </w:rPr>
              <w:t xml:space="preserve">Drug </w:t>
            </w:r>
          </w:p>
        </w:tc>
        <w:tc>
          <w:tcPr>
            <w:shd w:fill="auto" w:val="clear"/>
            <w:tcMar>
              <w:top w:w="100.0" w:type="dxa"/>
              <w:left w:w="100.0" w:type="dxa"/>
              <w:bottom w:w="100.0" w:type="dxa"/>
              <w:right w:w="100.0" w:type="dxa"/>
            </w:tcMar>
            <w:vAlign w:val="top"/>
          </w:tcPr>
          <w:p w:rsidR="00000000" w:rsidDel="00000000" w:rsidP="00000000" w:rsidRDefault="00000000" w:rsidRPr="00000000" w14:paraId="000002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32391357421875" w:right="0" w:firstLine="0"/>
              <w:jc w:val="left"/>
              <w:rPr>
                <w:rFonts w:ascii="Arial" w:cs="Arial" w:eastAsia="Arial" w:hAnsi="Arial"/>
                <w:b w:val="1"/>
                <w:bCs w:val="1"/>
                <w:i w:val="0"/>
                <w:iCs w:val="0"/>
                <w:smallCaps w:val="0"/>
                <w:strike w:val="0"/>
                <w:sz w:val="16.600000381469727"/>
                <w:szCs w:val="16.600000381469727"/>
                <w:u w:val="none"/>
                <w:shd w:fill="auto" w:val="clear"/>
                <w:vertAlign w:val="baseline"/>
              </w:rPr>
            </w:pPr>
            <w:r w:rsidDel="00000000" w:rsidR="00000000" w:rsidRPr="00000000">
              <w:rPr>
                <w:rFonts w:ascii="Arial" w:cs="Arial" w:eastAsia="Arial" w:hAnsi="Arial"/>
                <w:b w:val="1"/>
                <w:bCs w:val="1"/>
                <w:i w:val="0"/>
                <w:iCs w:val="0"/>
                <w:smallCaps w:val="0"/>
                <w:strike w:val="0"/>
                <w:sz w:val="16.600000381469727"/>
                <w:szCs w:val="16.600000381469727"/>
                <w:u w:val="none"/>
                <w:shd w:fill="auto" w:val="clear"/>
                <w:vertAlign w:val="baseline"/>
                <w:rtl w:val="0"/>
              </w:rPr>
              <w:t xml:space="preserve">Trial </w:t>
            </w:r>
          </w:p>
        </w:tc>
        <w:tc>
          <w:tcPr>
            <w:shd w:fill="auto" w:val="clear"/>
            <w:tcMar>
              <w:top w:w="100.0" w:type="dxa"/>
              <w:left w:w="100.0" w:type="dxa"/>
              <w:bottom w:w="100.0" w:type="dxa"/>
              <w:right w:w="100.0" w:type="dxa"/>
            </w:tcMar>
            <w:vAlign w:val="top"/>
          </w:tcPr>
          <w:p w:rsidR="00000000" w:rsidDel="00000000" w:rsidP="00000000" w:rsidRDefault="00000000" w:rsidRPr="00000000" w14:paraId="000002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615966796875" w:right="0" w:firstLine="0"/>
              <w:jc w:val="left"/>
              <w:rPr>
                <w:rFonts w:ascii="Arial" w:cs="Arial" w:eastAsia="Arial" w:hAnsi="Arial"/>
                <w:b w:val="1"/>
                <w:bCs w:val="1"/>
                <w:i w:val="0"/>
                <w:iCs w:val="0"/>
                <w:smallCaps w:val="0"/>
                <w:strike w:val="0"/>
                <w:sz w:val="16.600000381469727"/>
                <w:szCs w:val="16.600000381469727"/>
                <w:u w:val="none"/>
                <w:shd w:fill="auto" w:val="clear"/>
                <w:vertAlign w:val="baseline"/>
              </w:rPr>
            </w:pPr>
            <w:r w:rsidDel="00000000" w:rsidR="00000000" w:rsidRPr="00000000">
              <w:rPr>
                <w:rFonts w:ascii="Arial" w:cs="Arial" w:eastAsia="Arial" w:hAnsi="Arial"/>
                <w:b w:val="1"/>
                <w:bCs w:val="1"/>
                <w:i w:val="0"/>
                <w:iCs w:val="0"/>
                <w:smallCaps w:val="0"/>
                <w:strike w:val="0"/>
                <w:sz w:val="16.600000381469727"/>
                <w:szCs w:val="16.600000381469727"/>
                <w:u w:val="none"/>
                <w:shd w:fill="auto" w:val="clear"/>
                <w:vertAlign w:val="baseline"/>
                <w:rtl w:val="0"/>
              </w:rPr>
              <w:t xml:space="preserve">Result</w:t>
            </w:r>
          </w:p>
        </w:tc>
      </w:tr>
      <w:tr>
        <w:trPr>
          <w:cantSplit w:val="0"/>
          <w:trHeight w:val="576.000976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23999023437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Aspirin 100mg/day </w:t>
            </w:r>
          </w:p>
        </w:tc>
        <w:tc>
          <w:tcPr>
            <w:shd w:fill="auto" w:val="clear"/>
            <w:tcMar>
              <w:top w:w="100.0" w:type="dxa"/>
              <w:left w:w="100.0" w:type="dxa"/>
              <w:bottom w:w="100.0" w:type="dxa"/>
              <w:right w:w="100.0" w:type="dxa"/>
            </w:tcMar>
            <w:vAlign w:val="top"/>
          </w:tcPr>
          <w:p w:rsidR="00000000" w:rsidDel="00000000" w:rsidP="00000000" w:rsidRDefault="00000000" w:rsidRPr="00000000" w14:paraId="000002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23999023437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ASPREE, 19,114 adults 70+ </w:t>
            </w:r>
          </w:p>
        </w:tc>
        <w:tc>
          <w:tcPr>
            <w:shd w:fill="auto" w:val="clear"/>
            <w:tcMar>
              <w:top w:w="100.0" w:type="dxa"/>
              <w:left w:w="100.0" w:type="dxa"/>
              <w:bottom w:w="100.0" w:type="dxa"/>
              <w:right w:w="100.0" w:type="dxa"/>
            </w:tcMar>
            <w:vAlign w:val="top"/>
          </w:tcPr>
          <w:p w:rsidR="00000000" w:rsidDel="00000000" w:rsidP="00000000" w:rsidRDefault="00000000" w:rsidRPr="00000000" w14:paraId="000002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231201171875" w:lineRule="auto"/>
              <w:ind w:left="120.3997802734375" w:right="181.201171875" w:hanging="8.1597900390625"/>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All dementia HR 1.03 (0.91-1.17); probable Alzheimer's 0.96; major bleeding increased — negative</w:t>
            </w:r>
          </w:p>
        </w:tc>
      </w:tr>
      <w:tr>
        <w:trPr>
          <w:cantSplit w:val="0"/>
          <w:trHeight w:val="575.99975585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160034179687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Naproxen and celecoxib </w:t>
            </w:r>
          </w:p>
        </w:tc>
        <w:tc>
          <w:tcPr>
            <w:shd w:fill="auto" w:val="clear"/>
            <w:tcMar>
              <w:top w:w="100.0" w:type="dxa"/>
              <w:left w:w="100.0" w:type="dxa"/>
              <w:bottom w:w="100.0" w:type="dxa"/>
              <w:right w:w="100.0" w:type="dxa"/>
            </w:tcMar>
            <w:vAlign w:val="top"/>
          </w:tcPr>
          <w:p w:rsidR="00000000" w:rsidDel="00000000" w:rsidP="00000000" w:rsidRDefault="00000000" w:rsidRPr="00000000" w14:paraId="000002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231201171875" w:lineRule="auto"/>
              <w:ind w:left="120.40008544921875" w:right="168.8800048828125" w:hanging="8.16009521484375"/>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ADAPT, 2,528 adults 70+ with family history</w:t>
            </w:r>
          </w:p>
        </w:tc>
        <w:tc>
          <w:tcPr>
            <w:shd w:fill="auto" w:val="clear"/>
            <w:tcMar>
              <w:top w:w="100.0" w:type="dxa"/>
              <w:left w:w="100.0" w:type="dxa"/>
              <w:bottom w:w="100.0" w:type="dxa"/>
              <w:right w:w="100.0" w:type="dxa"/>
            </w:tcMar>
            <w:vAlign w:val="top"/>
          </w:tcPr>
          <w:p w:rsidR="00000000" w:rsidDel="00000000" w:rsidP="00000000" w:rsidRDefault="00000000" w:rsidRPr="00000000" w14:paraId="000002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7.03979492187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Celecoxib HR 1.03; naproxen HR 0.92 — negative</w:t>
            </w:r>
          </w:p>
        </w:tc>
      </w:tr>
      <w:tr>
        <w:trPr>
          <w:cantSplit w:val="0"/>
          <w:trHeight w:val="575.99975585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3.200073242187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Valacyclovir 4g/day </w:t>
            </w:r>
          </w:p>
        </w:tc>
        <w:tc>
          <w:tcPr>
            <w:shd w:fill="auto" w:val="clear"/>
            <w:tcMar>
              <w:top w:w="100.0" w:type="dxa"/>
              <w:left w:w="100.0" w:type="dxa"/>
              <w:bottom w:w="100.0" w:type="dxa"/>
              <w:right w:w="100.0" w:type="dxa"/>
            </w:tcMar>
            <w:vAlign w:val="top"/>
          </w:tcPr>
          <w:p w:rsidR="00000000" w:rsidDel="00000000" w:rsidP="00000000" w:rsidRDefault="00000000" w:rsidRPr="00000000" w14:paraId="000002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3.200073242187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VALAD, 120 adults with early </w:t>
            </w:r>
          </w:p>
          <w:p w:rsidR="00000000" w:rsidDel="00000000" w:rsidP="00000000" w:rsidRDefault="00000000" w:rsidRPr="00000000" w14:paraId="000002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939453125" w:line="240" w:lineRule="auto"/>
              <w:ind w:left="112.23999023437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Alzheimer's</w:t>
            </w:r>
          </w:p>
        </w:tc>
        <w:tc>
          <w:tcPr>
            <w:shd w:fill="auto" w:val="clear"/>
            <w:tcMar>
              <w:top w:w="100.0" w:type="dxa"/>
              <w:left w:w="100.0" w:type="dxa"/>
              <w:bottom w:w="100.0" w:type="dxa"/>
              <w:right w:w="100.0" w:type="dxa"/>
            </w:tcMar>
            <w:vAlign w:val="top"/>
          </w:tcPr>
          <w:p w:rsidR="00000000" w:rsidDel="00000000" w:rsidP="00000000" w:rsidRDefault="00000000" w:rsidRPr="00000000" w14:paraId="000002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231201171875" w:lineRule="auto"/>
              <w:ind w:left="115.1202392578125" w:right="314.161376953125" w:firstLine="1.9195556640625"/>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Cognition worsened more on valacyclovir (p=0.01); authors say "not recommended" — negative</w:t>
            </w:r>
          </w:p>
        </w:tc>
      </w:tr>
    </w:tbl>
    <w:p w:rsidR="00000000" w:rsidDel="00000000" w:rsidP="00000000" w:rsidRDefault="00000000" w:rsidRPr="00000000" w14:paraId="000002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9.88402366638184" w:lineRule="auto"/>
        <w:ind w:left="66.00006103515625" w:right="106.802978515625" w:hanging="5.200042724609375"/>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Aspirin should not be taken for brain health. No completed randomized trial of antibiotics for dementia could be confirmed, and nothing supports antibiotic use for cognitive reasons. </w:t>
      </w:r>
    </w:p>
    <w:p w:rsidR="00000000" w:rsidDel="00000000" w:rsidP="00000000" w:rsidRDefault="00000000" w:rsidRPr="00000000" w14:paraId="000002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5.030517578125" w:line="240" w:lineRule="auto"/>
        <w:ind w:left="77.760009765625" w:right="0" w:firstLine="0"/>
        <w:jc w:val="left"/>
        <w:rPr>
          <w:rFonts w:ascii="Arial" w:cs="Arial" w:eastAsia="Arial" w:hAnsi="Arial"/>
          <w:b w:val="1"/>
          <w:bCs w:val="1"/>
          <w:i w:val="0"/>
          <w:iCs w:val="0"/>
          <w:smallCaps w:val="0"/>
          <w:strike w:val="0"/>
          <w:color w:val="0f6b5c"/>
          <w:sz w:val="26"/>
          <w:szCs w:val="26"/>
          <w:u w:val="none"/>
          <w:shd w:fill="auto" w:val="clear"/>
          <w:vertAlign w:val="baseline"/>
        </w:rPr>
      </w:pPr>
      <w:r w:rsidDel="00000000" w:rsidR="00000000" w:rsidRPr="00000000">
        <w:rPr>
          <w:rFonts w:ascii="Arial" w:cs="Arial" w:eastAsia="Arial" w:hAnsi="Arial"/>
          <w:b w:val="1"/>
          <w:bCs w:val="1"/>
          <w:i w:val="0"/>
          <w:iCs w:val="0"/>
          <w:smallCaps w:val="0"/>
          <w:strike w:val="0"/>
          <w:color w:val="0f6b5c"/>
          <w:sz w:val="26"/>
          <w:szCs w:val="26"/>
          <w:u w:val="none"/>
          <w:shd w:fill="auto" w:val="clear"/>
          <w:vertAlign w:val="baseline"/>
          <w:rtl w:val="0"/>
        </w:rPr>
        <w:t xml:space="preserve">Putting the Medication Picture Together </w:t>
      </w:r>
    </w:p>
    <w:p w:rsidR="00000000" w:rsidDel="00000000" w:rsidP="00000000" w:rsidRDefault="00000000" w:rsidRPr="00000000" w14:paraId="000002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6.57958984375" w:line="277.9375648498535" w:lineRule="auto"/>
        <w:ind w:left="466.00006103515625" w:right="452.001953125" w:hanging="404.9400329589844"/>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8.333333333333336"/>
          <w:szCs w:val="28.333333333333336"/>
          <w:u w:val="none"/>
          <w:shd w:fill="auto" w:val="clear"/>
          <w:vertAlign w:val="superscript"/>
          <w:rtl w:val="0"/>
        </w:rPr>
        <w:t xml:space="preserve">•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Nothing here is a validated dementia-prevention pill. The only randomized evidence pointing toward reduced dementia comes from blood-pressure lowering, and even there the strongest signal is on mild cognitive impairment, not full dementia </w:t>
      </w:r>
    </w:p>
    <w:p w:rsidR="00000000" w:rsidDel="00000000" w:rsidP="00000000" w:rsidRDefault="00000000" w:rsidRPr="00000000" w14:paraId="000002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3.3599853515625" w:line="277.9375648498535" w:lineRule="auto"/>
        <w:ind w:left="466.00006103515625" w:right="296.202392578125" w:hanging="404.9400329589844"/>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8.333333333333336"/>
          <w:szCs w:val="28.333333333333336"/>
          <w:u w:val="none"/>
          <w:shd w:fill="auto" w:val="clear"/>
          <w:vertAlign w:val="superscript"/>
          <w:rtl w:val="0"/>
        </w:rPr>
        <w:t xml:space="preserve">•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Treatment is not prevention. Lecanemab and donanemab modestly slow measured decline in confirmed early Alzheimer's, at meaningful ARIA (brain swelling/bleeding) risk. Cholinesterase inhibitors and memantine give small symptomatic benefit and do not change the underlying disease </w:t>
      </w:r>
    </w:p>
    <w:p w:rsidR="00000000" w:rsidDel="00000000" w:rsidP="00000000" w:rsidRDefault="00000000" w:rsidRPr="00000000" w14:paraId="000002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3.3599853515625" w:line="277.9375648498535" w:lineRule="auto"/>
        <w:ind w:left="459.6000671386719" w:right="199.400634765625" w:hanging="398.5400390625"/>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8.333333333333336"/>
          <w:szCs w:val="28.333333333333336"/>
          <w:u w:val="none"/>
          <w:shd w:fill="auto" w:val="clear"/>
          <w:vertAlign w:val="superscript"/>
          <w:rtl w:val="0"/>
        </w:rPr>
        <w:t xml:space="preserve">•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Well-publicized candidates failed randomized tests: oral semaglutide, pioglitazone, aspirin, NSAIDs, valacyclovir. Observational "protective" signals for metformin, SGLT2 inhibitors, statins, and GLP-1 drugs remain association only </w:t>
      </w:r>
    </w:p>
    <w:p w:rsidR="00000000" w:rsidDel="00000000" w:rsidP="00000000" w:rsidRDefault="00000000" w:rsidRPr="00000000" w14:paraId="000002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3.3599853515625" w:line="276.07998847961426" w:lineRule="auto"/>
        <w:ind w:left="469.6000671386719" w:right="74.40185546875" w:hanging="408.5400390625"/>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8.333333333333336"/>
          <w:szCs w:val="28.333333333333336"/>
          <w:u w:val="none"/>
          <w:shd w:fill="auto" w:val="clear"/>
          <w:vertAlign w:val="superscript"/>
          <w:rtl w:val="0"/>
        </w:rPr>
        <w:t xml:space="preserve">•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 most actionable medication lever is subtraction, not addition — a clinician-led review of anticholinergic burden, sedatives, and antipsychotic use </w:t>
      </w:r>
    </w:p>
    <w:p w:rsidR="00000000" w:rsidDel="00000000" w:rsidP="00000000" w:rsidRDefault="00000000" w:rsidRPr="00000000" w14:paraId="000002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3.3599853515625" w:line="284.0968608856201" w:lineRule="auto"/>
        <w:ind w:left="60.66001892089844" w:right="346.834716796875" w:firstLine="11.780014038085938"/>
        <w:jc w:val="left"/>
        <w:rPr>
          <w:rFonts w:ascii="Arial" w:cs="Arial" w:eastAsia="Arial" w:hAnsi="Arial"/>
          <w:b w:val="0"/>
          <w:bCs w:val="0"/>
          <w:i w:val="0"/>
          <w:iCs w:val="0"/>
          <w:smallCaps w:val="0"/>
          <w:strike w:val="0"/>
          <w:color w:val="1b3a4b"/>
          <w:sz w:val="19"/>
          <w:szCs w:val="19"/>
          <w:u w:val="none"/>
          <w:shd w:fill="auto" w:val="clear"/>
          <w:vertAlign w:val="baseline"/>
        </w:rPr>
      </w:pPr>
      <w:r w:rsidDel="00000000" w:rsidR="00000000" w:rsidRPr="00000000">
        <w:rPr>
          <w:rFonts w:ascii="Arial" w:cs="Arial" w:eastAsia="Arial" w:hAnsi="Arial"/>
          <w:b w:val="0"/>
          <w:bCs w:val="0"/>
          <w:i w:val="0"/>
          <w:iCs w:val="0"/>
          <w:smallCaps w:val="0"/>
          <w:strike w:val="0"/>
          <w:color w:val="1b3a4b"/>
          <w:sz w:val="19"/>
          <w:szCs w:val="19"/>
          <w:u w:val="none"/>
          <w:shd w:fill="auto" w:val="clear"/>
          <w:vertAlign w:val="baseline"/>
          <w:rtl w:val="0"/>
        </w:rPr>
        <w:t xml:space="preserve">Never start or stop a prescription based on this program. Every item in this section is a question to bring to your prescriber, not an instruction. Stopping benzodiazepines, gabapentinoids, antipsychotics, opioids, or proton pump inhibitors abruptly can cause serious harm.</w:t>
      </w:r>
    </w:p>
    <w:p w:rsidR="00000000" w:rsidDel="00000000" w:rsidP="00000000" w:rsidRDefault="00000000" w:rsidRPr="00000000" w14:paraId="000002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1.25999450683594" w:right="0" w:firstLine="0"/>
        <w:jc w:val="left"/>
        <w:rPr>
          <w:rFonts w:ascii="Arial" w:cs="Arial" w:eastAsia="Arial" w:hAnsi="Arial"/>
          <w:b w:val="1"/>
          <w:bCs w:val="1"/>
          <w:i w:val="0"/>
          <w:iCs w:val="0"/>
          <w:smallCaps w:val="0"/>
          <w:strike w:val="0"/>
          <w:color w:val="1b3a4b"/>
          <w:sz w:val="34"/>
          <w:szCs w:val="34"/>
          <w:u w:val="none"/>
          <w:shd w:fill="auto" w:val="clear"/>
          <w:vertAlign w:val="baseline"/>
        </w:rPr>
      </w:pPr>
      <w:r w:rsidDel="00000000" w:rsidR="00000000" w:rsidRPr="00000000">
        <w:rPr>
          <w:rFonts w:ascii="Arial" w:cs="Arial" w:eastAsia="Arial" w:hAnsi="Arial"/>
          <w:b w:val="1"/>
          <w:bCs w:val="1"/>
          <w:i w:val="0"/>
          <w:iCs w:val="0"/>
          <w:smallCaps w:val="0"/>
          <w:strike w:val="0"/>
          <w:color w:val="1b3a4b"/>
          <w:sz w:val="34"/>
          <w:szCs w:val="34"/>
          <w:u w:val="none"/>
          <w:shd w:fill="auto" w:val="clear"/>
          <w:vertAlign w:val="baseline"/>
          <w:rtl w:val="0"/>
        </w:rPr>
        <w:t xml:space="preserve">Section 7: Tracking Your Numbers </w:t>
      </w:r>
    </w:p>
    <w:p w:rsidR="00000000" w:rsidDel="00000000" w:rsidP="00000000" w:rsidRDefault="00000000" w:rsidRPr="00000000" w14:paraId="000002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3.22021484375" w:line="240" w:lineRule="auto"/>
        <w:ind w:left="0" w:right="0" w:firstLine="0"/>
        <w:jc w:val="center"/>
        <w:rPr>
          <w:rFonts w:ascii="Arial" w:cs="Arial" w:eastAsia="Arial" w:hAnsi="Arial"/>
          <w:b w:val="0"/>
          <w:bCs w:val="0"/>
          <w:i w:val="0"/>
          <w:iCs w:val="0"/>
          <w:smallCaps w:val="0"/>
          <w:strike w:val="0"/>
          <w:color w:val="1b3a4b"/>
          <w:sz w:val="19"/>
          <w:szCs w:val="19"/>
          <w:u w:val="none"/>
          <w:shd w:fill="auto" w:val="clear"/>
          <w:vertAlign w:val="baseline"/>
        </w:rPr>
      </w:pPr>
      <w:r w:rsidDel="00000000" w:rsidR="00000000" w:rsidRPr="00000000">
        <w:rPr>
          <w:rFonts w:ascii="Arial" w:cs="Arial" w:eastAsia="Arial" w:hAnsi="Arial"/>
          <w:b w:val="1"/>
          <w:bCs w:val="1"/>
          <w:i w:val="0"/>
          <w:iCs w:val="0"/>
          <w:smallCaps w:val="0"/>
          <w:strike w:val="0"/>
          <w:color w:val="1b3a4b"/>
          <w:sz w:val="19"/>
          <w:szCs w:val="19"/>
          <w:u w:val="none"/>
          <w:shd w:fill="auto" w:val="clear"/>
          <w:vertAlign w:val="baseline"/>
          <w:rtl w:val="0"/>
        </w:rPr>
        <w:t xml:space="preserve">Bottom line: </w:t>
      </w:r>
      <w:r w:rsidDel="00000000" w:rsidR="00000000" w:rsidRPr="00000000">
        <w:rPr>
          <w:rFonts w:ascii="Arial" w:cs="Arial" w:eastAsia="Arial" w:hAnsi="Arial"/>
          <w:b w:val="0"/>
          <w:bCs w:val="0"/>
          <w:i w:val="0"/>
          <w:iCs w:val="0"/>
          <w:smallCaps w:val="0"/>
          <w:strike w:val="0"/>
          <w:color w:val="1b3a4b"/>
          <w:sz w:val="19"/>
          <w:szCs w:val="19"/>
          <w:u w:val="none"/>
          <w:shd w:fill="auto" w:val="clear"/>
          <w:vertAlign w:val="baseline"/>
          <w:rtl w:val="0"/>
        </w:rPr>
        <w:t xml:space="preserve">you don't need a lab to start. A handful of simple, at-home numbers give you real feedback within days. </w:t>
      </w:r>
    </w:p>
    <w:p w:rsidR="00000000" w:rsidDel="00000000" w:rsidP="00000000" w:rsidRDefault="00000000" w:rsidRPr="00000000" w14:paraId="000002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8.270263671875" w:line="240" w:lineRule="auto"/>
        <w:ind w:left="77.760009765625" w:right="0" w:firstLine="0"/>
        <w:jc w:val="left"/>
        <w:rPr>
          <w:rFonts w:ascii="Arial" w:cs="Arial" w:eastAsia="Arial" w:hAnsi="Arial"/>
          <w:b w:val="1"/>
          <w:bCs w:val="1"/>
          <w:i w:val="0"/>
          <w:iCs w:val="0"/>
          <w:smallCaps w:val="0"/>
          <w:strike w:val="0"/>
          <w:color w:val="0f6b5c"/>
          <w:sz w:val="26"/>
          <w:szCs w:val="26"/>
          <w:u w:val="none"/>
          <w:shd w:fill="auto" w:val="clear"/>
          <w:vertAlign w:val="baseline"/>
        </w:rPr>
      </w:pPr>
      <w:r w:rsidDel="00000000" w:rsidR="00000000" w:rsidRPr="00000000">
        <w:rPr>
          <w:rFonts w:ascii="Arial" w:cs="Arial" w:eastAsia="Arial" w:hAnsi="Arial"/>
          <w:b w:val="1"/>
          <w:bCs w:val="1"/>
          <w:i w:val="0"/>
          <w:iCs w:val="0"/>
          <w:smallCaps w:val="0"/>
          <w:strike w:val="0"/>
          <w:color w:val="0f6b5c"/>
          <w:sz w:val="26"/>
          <w:szCs w:val="26"/>
          <w:u w:val="none"/>
          <w:shd w:fill="auto" w:val="clear"/>
          <w:vertAlign w:val="baseline"/>
          <w:rtl w:val="0"/>
        </w:rPr>
        <w:t xml:space="preserve">Blood Pressure </w:t>
      </w:r>
    </w:p>
    <w:p w:rsidR="00000000" w:rsidDel="00000000" w:rsidP="00000000" w:rsidRDefault="00000000" w:rsidRPr="00000000" w14:paraId="000002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6.57958984375" w:line="289.88402366638184" w:lineRule="auto"/>
        <w:ind w:left="60.800018310546875" w:right="38.00048828125"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This is the highest-value number in this entire guide. Measure it twice daily, sitting, after 5 minutes of rest, using a validated home cuff, averaging two readings per occasion. A single reading is inadequate for clinical decision-making — what matters is the pattern over days and weeks. Target: systolic at or below 130 mm Hg from age 40 onward, per both the Lancet Commission and the 2025 AHA/ACC guideline. </w:t>
      </w:r>
    </w:p>
    <w:p w:rsidR="00000000" w:rsidDel="00000000" w:rsidP="00000000" w:rsidRDefault="00000000" w:rsidRPr="00000000" w14:paraId="000002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5.030517578125" w:line="240" w:lineRule="auto"/>
        <w:ind w:left="77.760009765625" w:right="0" w:firstLine="0"/>
        <w:jc w:val="left"/>
        <w:rPr>
          <w:rFonts w:ascii="Arial" w:cs="Arial" w:eastAsia="Arial" w:hAnsi="Arial"/>
          <w:b w:val="1"/>
          <w:bCs w:val="1"/>
          <w:i w:val="0"/>
          <w:iCs w:val="0"/>
          <w:smallCaps w:val="0"/>
          <w:strike w:val="0"/>
          <w:color w:val="0f6b5c"/>
          <w:sz w:val="26"/>
          <w:szCs w:val="26"/>
          <w:u w:val="none"/>
          <w:shd w:fill="auto" w:val="clear"/>
          <w:vertAlign w:val="baseline"/>
        </w:rPr>
      </w:pPr>
      <w:r w:rsidDel="00000000" w:rsidR="00000000" w:rsidRPr="00000000">
        <w:rPr>
          <w:rFonts w:ascii="Arial" w:cs="Arial" w:eastAsia="Arial" w:hAnsi="Arial"/>
          <w:b w:val="1"/>
          <w:bCs w:val="1"/>
          <w:i w:val="0"/>
          <w:iCs w:val="0"/>
          <w:smallCaps w:val="0"/>
          <w:strike w:val="0"/>
          <w:color w:val="0f6b5c"/>
          <w:sz w:val="26"/>
          <w:szCs w:val="26"/>
          <w:u w:val="none"/>
          <w:shd w:fill="auto" w:val="clear"/>
          <w:vertAlign w:val="baseline"/>
          <w:rtl w:val="0"/>
        </w:rPr>
        <w:t xml:space="preserve">Blood Sugar </w:t>
      </w:r>
    </w:p>
    <w:tbl>
      <w:tblPr>
        <w:tblStyle w:val="Table20"/>
        <w:tblW w:w="8928.000183105469" w:type="dxa"/>
        <w:jc w:val="left"/>
        <w:tblInd w:w="504.0000915527344"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583.9999389648438"/>
        <w:gridCol w:w="2880"/>
        <w:gridCol w:w="2304.000244140625"/>
        <w:gridCol w:w="2160"/>
        <w:tblGridChange w:id="0">
          <w:tblGrid>
            <w:gridCol w:w="1583.9999389648438"/>
            <w:gridCol w:w="2880"/>
            <w:gridCol w:w="2304.000244140625"/>
            <w:gridCol w:w="2160"/>
          </w:tblGrid>
        </w:tblGridChange>
      </w:tblGrid>
      <w:tr>
        <w:trPr>
          <w:cantSplit w:val="0"/>
          <w:trHeight w:val="368.0004882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32406616210938" w:right="0" w:firstLine="0"/>
              <w:jc w:val="left"/>
              <w:rPr>
                <w:rFonts w:ascii="Arial" w:cs="Arial" w:eastAsia="Arial" w:hAnsi="Arial"/>
                <w:b w:val="1"/>
                <w:bCs w:val="1"/>
                <w:i w:val="0"/>
                <w:iCs w:val="0"/>
                <w:smallCaps w:val="0"/>
                <w:strike w:val="0"/>
                <w:sz w:val="16.600000381469727"/>
                <w:szCs w:val="16.600000381469727"/>
                <w:u w:val="none"/>
                <w:shd w:fill="auto" w:val="clear"/>
                <w:vertAlign w:val="baseline"/>
              </w:rPr>
            </w:pPr>
            <w:r w:rsidDel="00000000" w:rsidR="00000000" w:rsidRPr="00000000">
              <w:rPr>
                <w:rFonts w:ascii="Arial" w:cs="Arial" w:eastAsia="Arial" w:hAnsi="Arial"/>
                <w:b w:val="1"/>
                <w:bCs w:val="1"/>
                <w:i w:val="0"/>
                <w:iCs w:val="0"/>
                <w:smallCaps w:val="0"/>
                <w:strike w:val="0"/>
                <w:sz w:val="16.600000381469727"/>
                <w:szCs w:val="16.600000381469727"/>
                <w:u w:val="none"/>
                <w:shd w:fill="auto" w:val="clear"/>
                <w:vertAlign w:val="baseline"/>
                <w:rtl w:val="0"/>
              </w:rPr>
              <w:t xml:space="preserve">Test </w:t>
            </w:r>
          </w:p>
        </w:tc>
        <w:tc>
          <w:tcPr>
            <w:shd w:fill="auto" w:val="clear"/>
            <w:tcMar>
              <w:top w:w="100.0" w:type="dxa"/>
              <w:left w:w="100.0" w:type="dxa"/>
              <w:bottom w:w="100.0" w:type="dxa"/>
              <w:right w:w="100.0" w:type="dxa"/>
            </w:tcMar>
            <w:vAlign w:val="top"/>
          </w:tcPr>
          <w:p w:rsidR="00000000" w:rsidDel="00000000" w:rsidP="00000000" w:rsidRDefault="00000000" w:rsidRPr="00000000" w14:paraId="000002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65594482421875" w:right="0" w:firstLine="0"/>
              <w:jc w:val="left"/>
              <w:rPr>
                <w:rFonts w:ascii="Arial" w:cs="Arial" w:eastAsia="Arial" w:hAnsi="Arial"/>
                <w:b w:val="1"/>
                <w:bCs w:val="1"/>
                <w:i w:val="0"/>
                <w:iCs w:val="0"/>
                <w:smallCaps w:val="0"/>
                <w:strike w:val="0"/>
                <w:sz w:val="16.600000381469727"/>
                <w:szCs w:val="16.600000381469727"/>
                <w:u w:val="none"/>
                <w:shd w:fill="auto" w:val="clear"/>
                <w:vertAlign w:val="baseline"/>
              </w:rPr>
            </w:pPr>
            <w:r w:rsidDel="00000000" w:rsidR="00000000" w:rsidRPr="00000000">
              <w:rPr>
                <w:rFonts w:ascii="Arial" w:cs="Arial" w:eastAsia="Arial" w:hAnsi="Arial"/>
                <w:b w:val="1"/>
                <w:bCs w:val="1"/>
                <w:i w:val="0"/>
                <w:iCs w:val="0"/>
                <w:smallCaps w:val="0"/>
                <w:strike w:val="0"/>
                <w:sz w:val="16.600000381469727"/>
                <w:szCs w:val="16.600000381469727"/>
                <w:u w:val="none"/>
                <w:shd w:fill="auto" w:val="clear"/>
                <w:vertAlign w:val="baseline"/>
                <w:rtl w:val="0"/>
              </w:rPr>
              <w:t xml:space="preserve">What it measures </w:t>
            </w:r>
          </w:p>
        </w:tc>
        <w:tc>
          <w:tcPr>
            <w:shd w:fill="auto" w:val="clear"/>
            <w:tcMar>
              <w:top w:w="100.0" w:type="dxa"/>
              <w:left w:w="100.0" w:type="dxa"/>
              <w:bottom w:w="100.0" w:type="dxa"/>
              <w:right w:w="100.0" w:type="dxa"/>
            </w:tcMar>
            <w:vAlign w:val="top"/>
          </w:tcPr>
          <w:p w:rsidR="00000000" w:rsidDel="00000000" w:rsidP="00000000" w:rsidRDefault="00000000" w:rsidRPr="00000000" w14:paraId="000002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65625" w:right="0" w:firstLine="0"/>
              <w:jc w:val="left"/>
              <w:rPr>
                <w:rFonts w:ascii="Arial" w:cs="Arial" w:eastAsia="Arial" w:hAnsi="Arial"/>
                <w:b w:val="1"/>
                <w:bCs w:val="1"/>
                <w:i w:val="0"/>
                <w:iCs w:val="0"/>
                <w:smallCaps w:val="0"/>
                <w:strike w:val="0"/>
                <w:sz w:val="16.600000381469727"/>
                <w:szCs w:val="16.600000381469727"/>
                <w:u w:val="none"/>
                <w:shd w:fill="auto" w:val="clear"/>
                <w:vertAlign w:val="baseline"/>
              </w:rPr>
            </w:pPr>
            <w:r w:rsidDel="00000000" w:rsidR="00000000" w:rsidRPr="00000000">
              <w:rPr>
                <w:rFonts w:ascii="Arial" w:cs="Arial" w:eastAsia="Arial" w:hAnsi="Arial"/>
                <w:b w:val="1"/>
                <w:bCs w:val="1"/>
                <w:i w:val="0"/>
                <w:iCs w:val="0"/>
                <w:smallCaps w:val="0"/>
                <w:strike w:val="0"/>
                <w:sz w:val="16.600000381469727"/>
                <w:szCs w:val="16.600000381469727"/>
                <w:u w:val="none"/>
                <w:shd w:fill="auto" w:val="clear"/>
                <w:vertAlign w:val="baseline"/>
                <w:rtl w:val="0"/>
              </w:rPr>
              <w:t xml:space="preserve">When to check </w:t>
            </w:r>
          </w:p>
        </w:tc>
        <w:tc>
          <w:tcPr>
            <w:shd w:fill="auto" w:val="clear"/>
            <w:tcMar>
              <w:top w:w="100.0" w:type="dxa"/>
              <w:left w:w="100.0" w:type="dxa"/>
              <w:bottom w:w="100.0" w:type="dxa"/>
              <w:right w:w="100.0" w:type="dxa"/>
            </w:tcMar>
            <w:vAlign w:val="top"/>
          </w:tcPr>
          <w:p w:rsidR="00000000" w:rsidDel="00000000" w:rsidP="00000000" w:rsidRDefault="00000000" w:rsidRPr="00000000" w14:paraId="000002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785888671875" w:right="0" w:firstLine="0"/>
              <w:jc w:val="left"/>
              <w:rPr>
                <w:rFonts w:ascii="Arial" w:cs="Arial" w:eastAsia="Arial" w:hAnsi="Arial"/>
                <w:b w:val="1"/>
                <w:bCs w:val="1"/>
                <w:i w:val="0"/>
                <w:iCs w:val="0"/>
                <w:smallCaps w:val="0"/>
                <w:strike w:val="0"/>
                <w:sz w:val="16.600000381469727"/>
                <w:szCs w:val="16.600000381469727"/>
                <w:u w:val="none"/>
                <w:shd w:fill="auto" w:val="clear"/>
                <w:vertAlign w:val="baseline"/>
              </w:rPr>
            </w:pPr>
            <w:r w:rsidDel="00000000" w:rsidR="00000000" w:rsidRPr="00000000">
              <w:rPr>
                <w:rFonts w:ascii="Arial" w:cs="Arial" w:eastAsia="Arial" w:hAnsi="Arial"/>
                <w:b w:val="1"/>
                <w:bCs w:val="1"/>
                <w:i w:val="0"/>
                <w:iCs w:val="0"/>
                <w:smallCaps w:val="0"/>
                <w:strike w:val="0"/>
                <w:sz w:val="16.600000381469727"/>
                <w:szCs w:val="16.600000381469727"/>
                <w:u w:val="none"/>
                <w:shd w:fill="auto" w:val="clear"/>
                <w:vertAlign w:val="baseline"/>
                <w:rtl w:val="0"/>
              </w:rPr>
              <w:t xml:space="preserve">Healthy target range*</w:t>
            </w:r>
          </w:p>
        </w:tc>
      </w:tr>
      <w:tr>
        <w:trPr>
          <w:cantSplit w:val="0"/>
          <w:trHeight w:val="575.99975585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3.760070800781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Fasting glucose </w:t>
            </w:r>
          </w:p>
        </w:tc>
        <w:tc>
          <w:tcPr>
            <w:shd w:fill="auto" w:val="clear"/>
            <w:tcMar>
              <w:top w:w="100.0" w:type="dxa"/>
              <w:left w:w="100.0" w:type="dxa"/>
              <w:bottom w:w="100.0" w:type="dxa"/>
              <w:right w:w="100.0" w:type="dxa"/>
            </w:tcMar>
            <w:vAlign w:val="top"/>
          </w:tcPr>
          <w:p w:rsidR="00000000" w:rsidDel="00000000" w:rsidP="00000000" w:rsidRDefault="00000000" w:rsidRPr="00000000" w14:paraId="000002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231201171875" w:lineRule="auto"/>
              <w:ind w:left="112.239990234375" w:right="328.720703125" w:firstLine="9.59991455078125"/>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Blood sugar after 8+ hours without food, via finger-stick glucometer</w:t>
            </w:r>
          </w:p>
        </w:tc>
        <w:tc>
          <w:tcPr>
            <w:shd w:fill="auto" w:val="clear"/>
            <w:tcMar>
              <w:top w:w="100.0" w:type="dxa"/>
              <w:left w:w="100.0" w:type="dxa"/>
              <w:bottom w:w="100.0" w:type="dxa"/>
              <w:right w:w="100.0" w:type="dxa"/>
            </w:tcMar>
            <w:vAlign w:val="top"/>
          </w:tcPr>
          <w:p w:rsidR="00000000" w:rsidDel="00000000" w:rsidP="00000000" w:rsidRDefault="00000000" w:rsidRPr="00000000" w14:paraId="000002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231201171875" w:lineRule="auto"/>
              <w:ind w:left="119.27978515625" w:right="388.880615234375" w:firstLine="4.47998046875"/>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First thing in the morning, before eating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2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919799804687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70-90 mg/dL</w:t>
            </w:r>
          </w:p>
        </w:tc>
      </w:tr>
      <w:tr>
        <w:trPr>
          <w:cantSplit w:val="0"/>
          <w:trHeight w:val="575.99975585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Post-meal glucose </w:t>
            </w:r>
          </w:p>
        </w:tc>
        <w:tc>
          <w:tcPr>
            <w:shd w:fill="auto" w:val="clear"/>
            <w:tcMar>
              <w:top w:w="100.0" w:type="dxa"/>
              <w:left w:w="100.0" w:type="dxa"/>
              <w:bottom w:w="100.0" w:type="dxa"/>
              <w:right w:w="100.0" w:type="dxa"/>
            </w:tcMar>
            <w:vAlign w:val="top"/>
          </w:tcPr>
          <w:p w:rsidR="00000000" w:rsidDel="00000000" w:rsidP="00000000" w:rsidRDefault="00000000" w:rsidRPr="00000000" w14:paraId="000002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23185920715332" w:lineRule="auto"/>
              <w:ind w:left="116.400146484375" w:right="475.760498046875" w:firstLine="5.9197998046875"/>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How high blood sugar rises after eating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2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6.16027832031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1-2 hours after a meal </w:t>
            </w:r>
          </w:p>
        </w:tc>
        <w:tc>
          <w:tcPr>
            <w:shd w:fill="auto" w:val="clear"/>
            <w:tcMar>
              <w:top w:w="100.0" w:type="dxa"/>
              <w:left w:w="100.0" w:type="dxa"/>
              <w:bottom w:w="100.0" w:type="dxa"/>
              <w:right w:w="100.0" w:type="dxa"/>
            </w:tcMar>
            <w:vAlign w:val="top"/>
          </w:tcPr>
          <w:p w:rsidR="00000000" w:rsidDel="00000000" w:rsidP="00000000" w:rsidRDefault="00000000" w:rsidRPr="00000000" w14:paraId="000002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63977050781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Under 140 mg/dL</w:t>
            </w:r>
          </w:p>
        </w:tc>
      </w:tr>
      <w:tr>
        <w:trPr>
          <w:cantSplit w:val="0"/>
          <w:trHeight w:val="575.99975585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31994628906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HbA1c </w:t>
            </w:r>
          </w:p>
        </w:tc>
        <w:tc>
          <w:tcPr>
            <w:shd w:fill="auto" w:val="clear"/>
            <w:tcMar>
              <w:top w:w="100.0" w:type="dxa"/>
              <w:left w:w="100.0" w:type="dxa"/>
              <w:bottom w:w="100.0" w:type="dxa"/>
              <w:right w:w="100.0" w:type="dxa"/>
            </w:tcMar>
            <w:vAlign w:val="top"/>
          </w:tcPr>
          <w:p w:rsidR="00000000" w:rsidDel="00000000" w:rsidP="00000000" w:rsidRDefault="00000000" w:rsidRPr="00000000" w14:paraId="000002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23185920715332" w:lineRule="auto"/>
              <w:ind w:left="120.40008544921875" w:right="235.440673828125" w:hanging="8.16009521484375"/>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Average blood sugar over roughly 3 months, via lab blood draw</w:t>
            </w:r>
          </w:p>
        </w:tc>
        <w:tc>
          <w:tcPr>
            <w:shd w:fill="auto" w:val="clear"/>
            <w:tcMar>
              <w:top w:w="100.0" w:type="dxa"/>
              <w:left w:w="100.0" w:type="dxa"/>
              <w:bottom w:w="100.0" w:type="dxa"/>
              <w:right w:w="100.0" w:type="dxa"/>
            </w:tcMar>
            <w:vAlign w:val="top"/>
          </w:tcPr>
          <w:p w:rsidR="00000000" w:rsidDel="00000000" w:rsidP="00000000" w:rsidRDefault="00000000" w:rsidRPr="00000000" w14:paraId="000002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23185920715332" w:lineRule="auto"/>
              <w:ind w:left="115.7598876953125" w:right="175.440673828125" w:firstLine="7.9998779296875"/>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Every 3-6 months, or at your annual physical</w:t>
            </w:r>
          </w:p>
        </w:tc>
        <w:tc>
          <w:tcPr>
            <w:shd w:fill="auto" w:val="clear"/>
            <w:tcMar>
              <w:top w:w="100.0" w:type="dxa"/>
              <w:left w:w="100.0" w:type="dxa"/>
              <w:bottom w:w="100.0" w:type="dxa"/>
              <w:right w:w="100.0" w:type="dxa"/>
            </w:tcMar>
            <w:vAlign w:val="top"/>
          </w:tcPr>
          <w:p w:rsidR="00000000" w:rsidDel="00000000" w:rsidP="00000000" w:rsidRDefault="00000000" w:rsidRPr="00000000" w14:paraId="000002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23185920715332" w:lineRule="auto"/>
              <w:ind w:left="115.1202392578125" w:right="170.960693359375" w:firstLine="7.51953125"/>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Under 5.7% (prediabetes 5.7-6.4%, diabetes 6.5%+)</w:t>
            </w:r>
          </w:p>
        </w:tc>
      </w:tr>
      <w:tr>
        <w:trPr>
          <w:cantSplit w:val="0"/>
          <w:trHeight w:val="784.00024414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31994628906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HOMA-IR </w:t>
            </w:r>
          </w:p>
        </w:tc>
        <w:tc>
          <w:tcPr>
            <w:shd w:fill="auto" w:val="clear"/>
            <w:tcMar>
              <w:top w:w="100.0" w:type="dxa"/>
              <w:left w:w="100.0" w:type="dxa"/>
              <w:bottom w:w="100.0" w:type="dxa"/>
              <w:right w:w="100.0" w:type="dxa"/>
            </w:tcMar>
            <w:vAlign w:val="top"/>
          </w:tcPr>
          <w:p w:rsidR="00000000" w:rsidDel="00000000" w:rsidP="00000000" w:rsidRDefault="00000000" w:rsidRPr="00000000" w14:paraId="000002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2.1255397796631" w:lineRule="auto"/>
              <w:ind w:left="120.71990966796875" w:right="253.360595703125" w:hanging="8.47991943359375"/>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A calculated estimate of insulin resistance from fasting glucose and insulin</w:t>
            </w:r>
          </w:p>
        </w:tc>
        <w:tc>
          <w:tcPr>
            <w:shd w:fill="auto" w:val="clear"/>
            <w:tcMar>
              <w:top w:w="100.0" w:type="dxa"/>
              <w:left w:w="100.0" w:type="dxa"/>
              <w:bottom w:w="100.0" w:type="dxa"/>
              <w:right w:w="100.0" w:type="dxa"/>
            </w:tcMar>
            <w:vAlign w:val="top"/>
          </w:tcPr>
          <w:p w:rsidR="00000000" w:rsidDel="00000000" w:rsidP="00000000" w:rsidRDefault="00000000" w:rsidRPr="00000000" w14:paraId="000002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23999023437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At a lab visit, ask your </w:t>
            </w:r>
          </w:p>
          <w:p w:rsidR="00000000" w:rsidDel="00000000" w:rsidP="00000000" w:rsidRDefault="00000000" w:rsidRPr="00000000" w14:paraId="000002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9400634765625" w:line="240" w:lineRule="auto"/>
              <w:ind w:left="116.40014648437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clinician to calculate it</w:t>
            </w:r>
          </w:p>
        </w:tc>
        <w:tc>
          <w:tcPr>
            <w:shd w:fill="auto" w:val="clear"/>
            <w:tcMar>
              <w:top w:w="100.0" w:type="dxa"/>
              <w:left w:w="100.0" w:type="dxa"/>
              <w:bottom w:w="100.0" w:type="dxa"/>
              <w:right w:w="100.0" w:type="dxa"/>
            </w:tcMar>
            <w:vAlign w:val="top"/>
          </w:tcPr>
          <w:p w:rsidR="00000000" w:rsidDel="00000000" w:rsidP="00000000" w:rsidRDefault="00000000" w:rsidRPr="00000000" w14:paraId="000002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6.16027832031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1.2 or below</w:t>
            </w:r>
          </w:p>
        </w:tc>
      </w:tr>
    </w:tbl>
    <w:p w:rsidR="00000000" w:rsidDel="00000000" w:rsidP="00000000" w:rsidRDefault="00000000" w:rsidRPr="00000000" w14:paraId="000002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9.88402366638184" w:lineRule="auto"/>
        <w:ind w:left="60.800018310546875" w:right="240.80322265625" w:firstLine="5"/>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*These ranges reflect general healthy-adult targets discussed in the source material, not a personalized medical target. Diabetes carries a relative risk of roughly 1.7 for dementia. A home glucometer costs $20-$40 and test strips are sold at any pharmacy — no prescription needed for most models. Continuous glucose monitors (CGMs) in non-diabetics are speculative for dementia purposes: a review found they "show promise for personalizing lifestyle interventions" but impact on hard outcomes "remains limited," with no dementia-specific evidence. </w:t>
      </w:r>
    </w:p>
    <w:p w:rsidR="00000000" w:rsidDel="00000000" w:rsidP="00000000" w:rsidRDefault="00000000" w:rsidRPr="00000000" w14:paraId="000002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9.88402366638184" w:lineRule="auto"/>
        <w:ind w:left="60.800018310546875" w:right="240.80322265625" w:firstLine="5"/>
        <w:jc w:val="left"/>
        <w:rPr>
          <w:sz w:val="20"/>
          <w:szCs w:val="20"/>
        </w:rPr>
      </w:pPr>
      <w:r w:rsidDel="00000000" w:rsidR="00000000" w:rsidRPr="00000000">
        <w:rPr>
          <w:rtl w:val="0"/>
        </w:rPr>
      </w:r>
    </w:p>
    <w:p w:rsidR="00000000" w:rsidDel="00000000" w:rsidP="00000000" w:rsidRDefault="00000000" w:rsidRPr="00000000" w14:paraId="000002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9.88402366638184" w:lineRule="auto"/>
        <w:ind w:left="60.800018310546875" w:right="240.80322265625" w:firstLine="5"/>
        <w:jc w:val="left"/>
        <w:rPr>
          <w:sz w:val="20"/>
          <w:szCs w:val="20"/>
        </w:rPr>
      </w:pPr>
      <w:r w:rsidDel="00000000" w:rsidR="00000000" w:rsidRPr="00000000">
        <w:rPr>
          <w:rtl w:val="0"/>
        </w:rPr>
      </w:r>
    </w:p>
    <w:p w:rsidR="00000000" w:rsidDel="00000000" w:rsidP="00000000" w:rsidRDefault="00000000" w:rsidRPr="00000000" w14:paraId="000002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9.88402366638184" w:lineRule="auto"/>
        <w:ind w:left="60.800018310546875" w:right="240.80322265625" w:firstLine="5"/>
        <w:jc w:val="left"/>
        <w:rPr>
          <w:sz w:val="20"/>
          <w:szCs w:val="20"/>
        </w:rPr>
      </w:pPr>
      <w:r w:rsidDel="00000000" w:rsidR="00000000" w:rsidRPr="00000000">
        <w:rPr>
          <w:rtl w:val="0"/>
        </w:rPr>
      </w:r>
    </w:p>
    <w:p w:rsidR="00000000" w:rsidDel="00000000" w:rsidP="00000000" w:rsidRDefault="00000000" w:rsidRPr="00000000" w14:paraId="000002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5.0299072265625" w:line="240" w:lineRule="auto"/>
        <w:ind w:left="80.62004089355469" w:right="0" w:firstLine="0"/>
        <w:jc w:val="left"/>
        <w:rPr>
          <w:rFonts w:ascii="Arial" w:cs="Arial" w:eastAsia="Arial" w:hAnsi="Arial"/>
          <w:b w:val="1"/>
          <w:bCs w:val="1"/>
          <w:i w:val="0"/>
          <w:iCs w:val="0"/>
          <w:smallCaps w:val="0"/>
          <w:strike w:val="0"/>
          <w:color w:val="0f6b5c"/>
          <w:sz w:val="26"/>
          <w:szCs w:val="26"/>
          <w:u w:val="none"/>
          <w:shd w:fill="auto" w:val="clear"/>
          <w:vertAlign w:val="baseline"/>
        </w:rPr>
      </w:pPr>
      <w:r w:rsidDel="00000000" w:rsidR="00000000" w:rsidRPr="00000000">
        <w:rPr>
          <w:rFonts w:ascii="Arial" w:cs="Arial" w:eastAsia="Arial" w:hAnsi="Arial"/>
          <w:b w:val="1"/>
          <w:bCs w:val="1"/>
          <w:i w:val="0"/>
          <w:iCs w:val="0"/>
          <w:smallCaps w:val="0"/>
          <w:strike w:val="0"/>
          <w:color w:val="0f6b5c"/>
          <w:sz w:val="26"/>
          <w:szCs w:val="26"/>
          <w:u w:val="none"/>
          <w:shd w:fill="auto" w:val="clear"/>
          <w:vertAlign w:val="baseline"/>
          <w:rtl w:val="0"/>
        </w:rPr>
        <w:t xml:space="preserve">Ketones </w:t>
      </w:r>
    </w:p>
    <w:tbl>
      <w:tblPr>
        <w:tblStyle w:val="Table21"/>
        <w:tblW w:w="8928.000183105469" w:type="dxa"/>
        <w:jc w:val="left"/>
        <w:tblInd w:w="504.0000915527344"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016.0000610351562"/>
        <w:gridCol w:w="2447.9998779296875"/>
        <w:gridCol w:w="2160"/>
        <w:gridCol w:w="2304.000244140625"/>
        <w:tblGridChange w:id="0">
          <w:tblGrid>
            <w:gridCol w:w="2016.0000610351562"/>
            <w:gridCol w:w="2447.9998779296875"/>
            <w:gridCol w:w="2160"/>
            <w:gridCol w:w="2304.000244140625"/>
          </w:tblGrid>
        </w:tblGridChange>
      </w:tblGrid>
      <w:tr>
        <w:trPr>
          <w:cantSplit w:val="0"/>
          <w:trHeight w:val="368.0004882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45401000976562" w:right="0" w:firstLine="0"/>
              <w:jc w:val="left"/>
              <w:rPr>
                <w:rFonts w:ascii="Arial" w:cs="Arial" w:eastAsia="Arial" w:hAnsi="Arial"/>
                <w:b w:val="1"/>
                <w:bCs w:val="1"/>
                <w:i w:val="0"/>
                <w:iCs w:val="0"/>
                <w:smallCaps w:val="0"/>
                <w:strike w:val="0"/>
                <w:sz w:val="16.600000381469727"/>
                <w:szCs w:val="16.600000381469727"/>
                <w:u w:val="none"/>
                <w:shd w:fill="auto" w:val="clear"/>
                <w:vertAlign w:val="baseline"/>
              </w:rPr>
            </w:pPr>
            <w:r w:rsidDel="00000000" w:rsidR="00000000" w:rsidRPr="00000000">
              <w:rPr>
                <w:rFonts w:ascii="Arial" w:cs="Arial" w:eastAsia="Arial" w:hAnsi="Arial"/>
                <w:b w:val="1"/>
                <w:bCs w:val="1"/>
                <w:i w:val="0"/>
                <w:iCs w:val="0"/>
                <w:smallCaps w:val="0"/>
                <w:strike w:val="0"/>
                <w:sz w:val="16.600000381469727"/>
                <w:szCs w:val="16.600000381469727"/>
                <w:u w:val="none"/>
                <w:shd w:fill="auto" w:val="clear"/>
                <w:vertAlign w:val="baseline"/>
                <w:rtl w:val="0"/>
              </w:rPr>
              <w:t xml:space="preserve">Method </w:t>
            </w:r>
          </w:p>
        </w:tc>
        <w:tc>
          <w:tcPr>
            <w:shd w:fill="auto" w:val="clear"/>
            <w:tcMar>
              <w:top w:w="100.0" w:type="dxa"/>
              <w:left w:w="100.0" w:type="dxa"/>
              <w:bottom w:w="100.0" w:type="dxa"/>
              <w:right w:w="100.0" w:type="dxa"/>
            </w:tcMar>
            <w:vAlign w:val="top"/>
          </w:tcPr>
          <w:p w:rsidR="00000000" w:rsidDel="00000000" w:rsidP="00000000" w:rsidRDefault="00000000" w:rsidRPr="00000000" w14:paraId="000002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65594482421875" w:right="0" w:firstLine="0"/>
              <w:jc w:val="left"/>
              <w:rPr>
                <w:rFonts w:ascii="Arial" w:cs="Arial" w:eastAsia="Arial" w:hAnsi="Arial"/>
                <w:b w:val="1"/>
                <w:bCs w:val="1"/>
                <w:i w:val="0"/>
                <w:iCs w:val="0"/>
                <w:smallCaps w:val="0"/>
                <w:strike w:val="0"/>
                <w:sz w:val="16.600000381469727"/>
                <w:szCs w:val="16.600000381469727"/>
                <w:u w:val="none"/>
                <w:shd w:fill="auto" w:val="clear"/>
                <w:vertAlign w:val="baseline"/>
              </w:rPr>
            </w:pPr>
            <w:r w:rsidDel="00000000" w:rsidR="00000000" w:rsidRPr="00000000">
              <w:rPr>
                <w:rFonts w:ascii="Arial" w:cs="Arial" w:eastAsia="Arial" w:hAnsi="Arial"/>
                <w:b w:val="1"/>
                <w:bCs w:val="1"/>
                <w:i w:val="0"/>
                <w:iCs w:val="0"/>
                <w:smallCaps w:val="0"/>
                <w:strike w:val="0"/>
                <w:sz w:val="16.600000381469727"/>
                <w:szCs w:val="16.600000381469727"/>
                <w:u w:val="none"/>
                <w:shd w:fill="auto" w:val="clear"/>
                <w:vertAlign w:val="baseline"/>
                <w:rtl w:val="0"/>
              </w:rPr>
              <w:t xml:space="preserve">What it measures </w:t>
            </w:r>
          </w:p>
        </w:tc>
        <w:tc>
          <w:tcPr>
            <w:shd w:fill="auto" w:val="clear"/>
            <w:tcMar>
              <w:top w:w="100.0" w:type="dxa"/>
              <w:left w:w="100.0" w:type="dxa"/>
              <w:bottom w:w="100.0" w:type="dxa"/>
              <w:right w:w="100.0" w:type="dxa"/>
            </w:tcMar>
            <w:vAlign w:val="top"/>
          </w:tcPr>
          <w:p w:rsidR="00000000" w:rsidDel="00000000" w:rsidP="00000000" w:rsidRDefault="00000000" w:rsidRPr="00000000" w14:paraId="000002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7.3040771484375" w:right="0" w:firstLine="0"/>
              <w:jc w:val="left"/>
              <w:rPr>
                <w:rFonts w:ascii="Arial" w:cs="Arial" w:eastAsia="Arial" w:hAnsi="Arial"/>
                <w:b w:val="1"/>
                <w:bCs w:val="1"/>
                <w:i w:val="0"/>
                <w:iCs w:val="0"/>
                <w:smallCaps w:val="0"/>
                <w:strike w:val="0"/>
                <w:sz w:val="16.600000381469727"/>
                <w:szCs w:val="16.600000381469727"/>
                <w:u w:val="none"/>
                <w:shd w:fill="auto" w:val="clear"/>
                <w:vertAlign w:val="baseline"/>
              </w:rPr>
            </w:pPr>
            <w:r w:rsidDel="00000000" w:rsidR="00000000" w:rsidRPr="00000000">
              <w:rPr>
                <w:rFonts w:ascii="Arial" w:cs="Arial" w:eastAsia="Arial" w:hAnsi="Arial"/>
                <w:b w:val="1"/>
                <w:bCs w:val="1"/>
                <w:i w:val="0"/>
                <w:iCs w:val="0"/>
                <w:smallCaps w:val="0"/>
                <w:strike w:val="0"/>
                <w:sz w:val="16.600000381469727"/>
                <w:szCs w:val="16.600000381469727"/>
                <w:u w:val="none"/>
                <w:shd w:fill="auto" w:val="clear"/>
                <w:vertAlign w:val="baseline"/>
                <w:rtl w:val="0"/>
              </w:rPr>
              <w:t xml:space="preserve">Convenience </w:t>
            </w:r>
          </w:p>
        </w:tc>
        <w:tc>
          <w:tcPr>
            <w:shd w:fill="auto" w:val="clear"/>
            <w:tcMar>
              <w:top w:w="100.0" w:type="dxa"/>
              <w:left w:w="100.0" w:type="dxa"/>
              <w:bottom w:w="100.0" w:type="dxa"/>
              <w:right w:w="100.0" w:type="dxa"/>
            </w:tcMar>
            <w:vAlign w:val="top"/>
          </w:tcPr>
          <w:p w:rsidR="00000000" w:rsidDel="00000000" w:rsidP="00000000" w:rsidRDefault="00000000" w:rsidRPr="00000000" w14:paraId="000002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453857421875" w:right="0" w:firstLine="0"/>
              <w:jc w:val="left"/>
              <w:rPr>
                <w:rFonts w:ascii="Arial" w:cs="Arial" w:eastAsia="Arial" w:hAnsi="Arial"/>
                <w:b w:val="1"/>
                <w:bCs w:val="1"/>
                <w:i w:val="0"/>
                <w:iCs w:val="0"/>
                <w:smallCaps w:val="0"/>
                <w:strike w:val="0"/>
                <w:sz w:val="16.600000381469727"/>
                <w:szCs w:val="16.600000381469727"/>
                <w:u w:val="none"/>
                <w:shd w:fill="auto" w:val="clear"/>
                <w:vertAlign w:val="baseline"/>
              </w:rPr>
            </w:pPr>
            <w:r w:rsidDel="00000000" w:rsidR="00000000" w:rsidRPr="00000000">
              <w:rPr>
                <w:rFonts w:ascii="Arial" w:cs="Arial" w:eastAsia="Arial" w:hAnsi="Arial"/>
                <w:b w:val="1"/>
                <w:bCs w:val="1"/>
                <w:i w:val="0"/>
                <w:iCs w:val="0"/>
                <w:smallCaps w:val="0"/>
                <w:strike w:val="0"/>
                <w:sz w:val="16.600000381469727"/>
                <w:szCs w:val="16.600000381469727"/>
                <w:u w:val="none"/>
                <w:shd w:fill="auto" w:val="clear"/>
                <w:vertAlign w:val="baseline"/>
                <w:rtl w:val="0"/>
              </w:rPr>
              <w:t xml:space="preserve">Notes</w:t>
            </w:r>
          </w:p>
        </w:tc>
      </w:tr>
      <w:tr>
        <w:trPr>
          <w:cantSplit w:val="0"/>
          <w:trHeight w:val="991.9995117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84005737304688"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Blood ketone meter </w:t>
            </w:r>
          </w:p>
          <w:p w:rsidR="00000000" w:rsidDel="00000000" w:rsidP="00000000" w:rsidRDefault="00000000" w:rsidRPr="00000000" w14:paraId="000002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94036865234375" w:line="240" w:lineRule="auto"/>
              <w:ind w:left="120.87997436523438"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(BHB)</w:t>
            </w:r>
          </w:p>
        </w:tc>
        <w:tc>
          <w:tcPr>
            <w:shd w:fill="auto" w:val="clear"/>
            <w:tcMar>
              <w:top w:w="100.0" w:type="dxa"/>
              <w:left w:w="100.0" w:type="dxa"/>
              <w:bottom w:w="100.0" w:type="dxa"/>
              <w:right w:w="100.0" w:type="dxa"/>
            </w:tcMar>
            <w:vAlign w:val="top"/>
          </w:tcPr>
          <w:p w:rsidR="00000000" w:rsidDel="00000000" w:rsidP="00000000" w:rsidRDefault="00000000" w:rsidRPr="00000000" w14:paraId="000002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2322883605957" w:lineRule="auto"/>
              <w:ind w:left="119.28009033203125" w:right="274.9603271484375" w:firstLine="2.559814453125"/>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Beta-hydroxybutyrate level in blood, in mmol/L</w:t>
            </w:r>
          </w:p>
        </w:tc>
        <w:tc>
          <w:tcPr>
            <w:shd w:fill="auto" w:val="clear"/>
            <w:tcMar>
              <w:top w:w="100.0" w:type="dxa"/>
              <w:left w:w="100.0" w:type="dxa"/>
              <w:bottom w:w="100.0" w:type="dxa"/>
              <w:right w:w="100.0" w:type="dxa"/>
            </w:tcMar>
            <w:vAlign w:val="top"/>
          </w:tcPr>
          <w:p w:rsidR="00000000" w:rsidDel="00000000" w:rsidP="00000000" w:rsidRDefault="00000000" w:rsidRPr="00000000" w14:paraId="000002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4.08020019531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Requires a finger-stick </w:t>
            </w:r>
          </w:p>
          <w:p w:rsidR="00000000" w:rsidDel="00000000" w:rsidP="00000000" w:rsidRDefault="00000000" w:rsidRPr="00000000" w14:paraId="000002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94036865234375" w:line="240" w:lineRule="auto"/>
              <w:ind w:left="115.12023925781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strip; most accurate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2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68029785156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Mild ketosis in research </w:t>
            </w:r>
          </w:p>
          <w:p w:rsidR="00000000" w:rsidDel="00000000" w:rsidP="00000000" w:rsidRDefault="00000000" w:rsidRPr="00000000" w14:paraId="000002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31994628906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ranged from 0.3 to 4.0 </w:t>
            </w:r>
          </w:p>
          <w:p w:rsidR="00000000" w:rsidDel="00000000" w:rsidP="00000000" w:rsidRDefault="00000000" w:rsidRPr="00000000" w14:paraId="000002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23220252990723" w:lineRule="auto"/>
              <w:ind w:left="122.3199462890625" w:right="95.440673828125" w:hanging="1.920166015625"/>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mmol/L — deep ketosis is not required for benefit</w:t>
            </w:r>
          </w:p>
        </w:tc>
      </w:tr>
      <w:tr>
        <w:trPr>
          <w:cantSplit w:val="0"/>
          <w:trHeight w:val="992.000122070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6400756835937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Urine ketone strips </w:t>
            </w:r>
          </w:p>
        </w:tc>
        <w:tc>
          <w:tcPr>
            <w:shd w:fill="auto" w:val="clear"/>
            <w:tcMar>
              <w:top w:w="100.0" w:type="dxa"/>
              <w:left w:w="100.0" w:type="dxa"/>
              <w:bottom w:w="100.0" w:type="dxa"/>
              <w:right w:w="100.0" w:type="dxa"/>
            </w:tcMar>
            <w:vAlign w:val="top"/>
          </w:tcPr>
          <w:p w:rsidR="00000000" w:rsidDel="00000000" w:rsidP="00000000" w:rsidRDefault="00000000" w:rsidRPr="00000000" w14:paraId="000002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Acetoacetate excreted in urine </w:t>
            </w:r>
          </w:p>
        </w:tc>
        <w:tc>
          <w:tcPr>
            <w:shd w:fill="auto" w:val="clear"/>
            <w:tcMar>
              <w:top w:w="100.0" w:type="dxa"/>
              <w:left w:w="100.0" w:type="dxa"/>
              <w:bottom w:w="100.0" w:type="dxa"/>
              <w:right w:w="100.0" w:type="dxa"/>
            </w:tcMar>
            <w:vAlign w:val="top"/>
          </w:tcPr>
          <w:p w:rsidR="00000000" w:rsidDel="00000000" w:rsidP="00000000" w:rsidRDefault="00000000" w:rsidRPr="00000000" w14:paraId="000002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7.03979492187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Cheapest, least invasive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2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8.42321872711182" w:lineRule="auto"/>
              <w:ind w:left="112.239990234375" w:right="282.16064453125" w:firstLine="9.9200439453125"/>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Less accurate over time as the body adapts to burning fat; best for early tracking only</w:t>
            </w:r>
          </w:p>
        </w:tc>
      </w:tr>
      <w:tr>
        <w:trPr>
          <w:cantSplit w:val="0"/>
          <w:trHeight w:val="783.9999389648438"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84005737304688"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Breath ketone meter </w:t>
            </w:r>
          </w:p>
        </w:tc>
        <w:tc>
          <w:tcPr>
            <w:shd w:fill="auto" w:val="clear"/>
            <w:tcMar>
              <w:top w:w="100.0" w:type="dxa"/>
              <w:left w:w="100.0" w:type="dxa"/>
              <w:bottom w:w="100.0" w:type="dxa"/>
              <w:right w:w="100.0" w:type="dxa"/>
            </w:tcMar>
            <w:vAlign w:val="top"/>
          </w:tcPr>
          <w:p w:rsidR="00000000" w:rsidDel="00000000" w:rsidP="00000000" w:rsidRDefault="00000000" w:rsidRPr="00000000" w14:paraId="000002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23999023437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Acetone in exhaled breath </w:t>
            </w:r>
          </w:p>
        </w:tc>
        <w:tc>
          <w:tcPr>
            <w:shd w:fill="auto" w:val="clear"/>
            <w:tcMar>
              <w:top w:w="100.0" w:type="dxa"/>
              <w:left w:w="100.0" w:type="dxa"/>
              <w:bottom w:w="100.0" w:type="dxa"/>
              <w:right w:w="100.0" w:type="dxa"/>
            </w:tcMar>
            <w:vAlign w:val="top"/>
          </w:tcPr>
          <w:p w:rsidR="00000000" w:rsidDel="00000000" w:rsidP="00000000" w:rsidRDefault="00000000" w:rsidRPr="00000000" w14:paraId="000002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23220252990723" w:lineRule="auto"/>
              <w:ind w:left="120.3997802734375" w:right="173.680419921875" w:firstLine="3.680419921875"/>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Reusable device, no strips needed</w:t>
            </w:r>
          </w:p>
        </w:tc>
        <w:tc>
          <w:tcPr>
            <w:shd w:fill="auto" w:val="clear"/>
            <w:tcMar>
              <w:top w:w="100.0" w:type="dxa"/>
              <w:left w:w="100.0" w:type="dxa"/>
              <w:bottom w:w="100.0" w:type="dxa"/>
              <w:right w:w="100.0" w:type="dxa"/>
            </w:tcMar>
            <w:vAlign w:val="top"/>
          </w:tcPr>
          <w:p w:rsidR="00000000" w:rsidDel="00000000" w:rsidP="00000000" w:rsidRDefault="00000000" w:rsidRPr="00000000" w14:paraId="000002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68029785156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Moderate accuracy; </w:t>
            </w:r>
          </w:p>
          <w:p w:rsidR="00000000" w:rsidDel="00000000" w:rsidP="00000000" w:rsidRDefault="00000000" w:rsidRPr="00000000" w14:paraId="000002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40014648437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convenient for daily spot </w:t>
            </w:r>
          </w:p>
          <w:p w:rsidR="00000000" w:rsidDel="00000000" w:rsidP="00000000" w:rsidRDefault="00000000" w:rsidRPr="00000000" w14:paraId="000002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93975830078125" w:line="240" w:lineRule="auto"/>
              <w:ind w:left="116.40014648437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checks</w:t>
            </w:r>
          </w:p>
        </w:tc>
      </w:tr>
    </w:tbl>
    <w:p w:rsidR="00000000" w:rsidDel="00000000" w:rsidP="00000000" w:rsidRDefault="00000000" w:rsidRPr="00000000" w14:paraId="000002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9.88402366638184" w:lineRule="auto"/>
        <w:ind w:left="65" w:right="149.00390625" w:firstLine="11.20002746582031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If you choose to track ketones at all, remember this guide's position: mild ketosis is an optional, evidence-thin accelerator — not a requirement. A pilot study in Alzheimer's research counted people as "adherent" at a BHB of just 0.3 mmol/L. There is no need to chase higher numbers.</w:t>
      </w:r>
    </w:p>
    <w:p w:rsidR="00000000" w:rsidDel="00000000" w:rsidP="00000000" w:rsidRDefault="00000000" w:rsidRPr="00000000" w14:paraId="000002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9.44000244140625" w:right="0" w:firstLine="0"/>
        <w:jc w:val="left"/>
        <w:rPr>
          <w:rFonts w:ascii="Arial" w:cs="Arial" w:eastAsia="Arial" w:hAnsi="Arial"/>
          <w:b w:val="1"/>
          <w:bCs w:val="1"/>
          <w:i w:val="0"/>
          <w:iCs w:val="0"/>
          <w:smallCaps w:val="0"/>
          <w:strike w:val="0"/>
          <w:color w:val="0f6b5c"/>
          <w:sz w:val="26"/>
          <w:szCs w:val="26"/>
          <w:u w:val="none"/>
          <w:shd w:fill="auto" w:val="clear"/>
          <w:vertAlign w:val="baseline"/>
        </w:rPr>
      </w:pPr>
      <w:r w:rsidDel="00000000" w:rsidR="00000000" w:rsidRPr="00000000">
        <w:rPr>
          <w:rFonts w:ascii="Arial" w:cs="Arial" w:eastAsia="Arial" w:hAnsi="Arial"/>
          <w:b w:val="1"/>
          <w:bCs w:val="1"/>
          <w:i w:val="0"/>
          <w:iCs w:val="0"/>
          <w:smallCaps w:val="0"/>
          <w:strike w:val="0"/>
          <w:color w:val="0f6b5c"/>
          <w:sz w:val="26"/>
          <w:szCs w:val="26"/>
          <w:u w:val="none"/>
          <w:shd w:fill="auto" w:val="clear"/>
          <w:vertAlign w:val="baseline"/>
          <w:rtl w:val="0"/>
        </w:rPr>
        <w:t xml:space="preserve">Other Numbers Worth Tracking </w:t>
      </w:r>
    </w:p>
    <w:p w:rsidR="00000000" w:rsidDel="00000000" w:rsidP="00000000" w:rsidRDefault="00000000" w:rsidRPr="00000000" w14:paraId="000002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6.57958984375" w:line="276.07998847961426" w:lineRule="auto"/>
        <w:ind w:left="460.8000183105469" w:right="608.20068359375" w:hanging="399.739990234375"/>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8.333333333333336"/>
          <w:szCs w:val="28.333333333333336"/>
          <w:u w:val="none"/>
          <w:shd w:fill="auto" w:val="clear"/>
          <w:vertAlign w:val="superscript"/>
          <w:rtl w:val="0"/>
        </w:rPr>
        <w:t xml:space="preserve">• </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Weight and waist circumference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waist cutpoints of 102 cm (40 in) for men and 88 cm (35 in) for women flag higher metabolic risk; BMI 30+ adds risk </w:t>
      </w:r>
    </w:p>
    <w:p w:rsidR="00000000" w:rsidDel="00000000" w:rsidP="00000000" w:rsidRDefault="00000000" w:rsidRPr="00000000" w14:paraId="000002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3.360595703125" w:line="276.07998847961426" w:lineRule="auto"/>
        <w:ind w:left="466.00006103515625" w:right="74.400634765625" w:hanging="404.9400329589844"/>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8.333333333333336"/>
          <w:szCs w:val="28.333333333333336"/>
          <w:u w:val="none"/>
          <w:shd w:fill="auto" w:val="clear"/>
          <w:vertAlign w:val="superscript"/>
          <w:rtl w:val="0"/>
        </w:rPr>
        <w:t xml:space="preserve">• </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Sleep duration and consistency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a wearable or simple log of bedtime/wake time; target 7-9 hours on a consistent schedule </w:t>
      </w:r>
    </w:p>
    <w:p w:rsidR="00000000" w:rsidDel="00000000" w:rsidP="00000000" w:rsidRDefault="00000000" w:rsidRPr="00000000" w14:paraId="000002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3.360595703125" w:line="276.07998847961426" w:lineRule="auto"/>
        <w:ind w:left="466.3999938964844" w:right="428.60107421875" w:hanging="405.3399658203125"/>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8.333333333333336"/>
          <w:szCs w:val="28.333333333333336"/>
          <w:u w:val="none"/>
          <w:shd w:fill="auto" w:val="clear"/>
          <w:vertAlign w:val="superscript"/>
          <w:rtl w:val="0"/>
        </w:rPr>
        <w:t xml:space="preserve">• </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Steps per day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a pedometer or phone app; benefit observed even at 3,800 steps/day, stronger near 9,800 </w:t>
      </w:r>
    </w:p>
    <w:p w:rsidR="00000000" w:rsidDel="00000000" w:rsidP="00000000" w:rsidRDefault="00000000" w:rsidRPr="00000000" w14:paraId="000002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3.360595703125" w:line="276.07998847961426" w:lineRule="auto"/>
        <w:ind w:left="460.8000183105469" w:right="41.400146484375" w:hanging="399.739990234375"/>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8.333333333333336"/>
          <w:szCs w:val="28.333333333333336"/>
          <w:u w:val="none"/>
          <w:shd w:fill="auto" w:val="clear"/>
          <w:vertAlign w:val="superscript"/>
          <w:rtl w:val="0"/>
        </w:rPr>
        <w:t xml:space="preserve">• </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LDL cholesterol, ApoB, and Lp(a)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require a lab blood draw; LDL 160+ is risk-enhancing, 190+ severe; ApoB 130+ and Lp(a) 50+ are selective risk-enhancers </w:t>
      </w:r>
    </w:p>
    <w:p w:rsidR="00000000" w:rsidDel="00000000" w:rsidP="00000000" w:rsidRDefault="00000000" w:rsidRPr="00000000" w14:paraId="000002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3.360595703125" w:line="276.07998847961426" w:lineRule="auto"/>
        <w:ind w:left="464.4000244140625" w:right="419.000244140625" w:hanging="403.3399963378906"/>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8.333333333333336"/>
          <w:szCs w:val="28.333333333333336"/>
          <w:u w:val="none"/>
          <w:shd w:fill="auto" w:val="clear"/>
          <w:vertAlign w:val="superscript"/>
          <w:rtl w:val="0"/>
        </w:rPr>
        <w:t xml:space="preserve">• </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hs-CRP (inflammation)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a lab blood draw; not a guideline dementia screen, but a general marker of systemic inflammation</w:t>
      </w:r>
    </w:p>
    <w:p w:rsidR="00000000" w:rsidDel="00000000" w:rsidP="00000000" w:rsidRDefault="00000000" w:rsidRPr="00000000" w14:paraId="000002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1.25999450683594" w:right="0" w:firstLine="0"/>
        <w:jc w:val="left"/>
        <w:rPr>
          <w:rFonts w:ascii="Arial" w:cs="Arial" w:eastAsia="Arial" w:hAnsi="Arial"/>
          <w:b w:val="1"/>
          <w:bCs w:val="1"/>
          <w:i w:val="0"/>
          <w:iCs w:val="0"/>
          <w:smallCaps w:val="0"/>
          <w:strike w:val="0"/>
          <w:color w:val="1b3a4b"/>
          <w:sz w:val="34"/>
          <w:szCs w:val="34"/>
          <w:u w:val="none"/>
          <w:shd w:fill="auto" w:val="clear"/>
          <w:vertAlign w:val="baseline"/>
        </w:rPr>
      </w:pPr>
      <w:r w:rsidDel="00000000" w:rsidR="00000000" w:rsidRPr="00000000">
        <w:rPr>
          <w:rFonts w:ascii="Arial" w:cs="Arial" w:eastAsia="Arial" w:hAnsi="Arial"/>
          <w:b w:val="1"/>
          <w:bCs w:val="1"/>
          <w:i w:val="0"/>
          <w:iCs w:val="0"/>
          <w:smallCaps w:val="0"/>
          <w:strike w:val="0"/>
          <w:color w:val="1b3a4b"/>
          <w:sz w:val="34"/>
          <w:szCs w:val="34"/>
          <w:u w:val="none"/>
          <w:shd w:fill="auto" w:val="clear"/>
          <w:vertAlign w:val="baseline"/>
          <w:rtl w:val="0"/>
        </w:rPr>
        <w:t xml:space="preserve">Section 8: The 30-Day Implementation Plan </w:t>
      </w:r>
    </w:p>
    <w:p w:rsidR="00000000" w:rsidDel="00000000" w:rsidP="00000000" w:rsidRDefault="00000000" w:rsidRPr="00000000" w14:paraId="000002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3.22021484375" w:line="289.88402366638184" w:lineRule="auto"/>
        <w:ind w:left="65.20004272460938" w:right="38.00048828125" w:firstLine="8.199996948242188"/>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Habits move first: in the French MAPT trial, lifestyle-arm participants raised activity by at least 300 MET-minutes per week within 6 months, and the difference held at years 2 and 3. Second, some numbers do move in a month: blood pressure, waist, sleep timing, steps, eating window. Third, you get a clean baseline and a clinician conversation you may have been putting off. </w:t>
      </w:r>
    </w:p>
    <w:p w:rsidR="00000000" w:rsidDel="00000000" w:rsidP="00000000" w:rsidRDefault="00000000" w:rsidRPr="00000000" w14:paraId="000002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5.030517578125" w:line="289.88402366638184" w:lineRule="auto"/>
        <w:ind w:left="60.800018310546875" w:right="440.20263671875"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This program rests on five pillars, in order of evidence strength: managing your numbers (especially blood pressure), moving your body daily, eating the KetoFLEX 12/3 way, protecting sleep, and training your brain while staying socially connected.</w:t>
      </w:r>
    </w:p>
    <w:p w:rsidR="00000000" w:rsidDel="00000000" w:rsidP="00000000" w:rsidRDefault="00000000" w:rsidRPr="00000000" w14:paraId="000002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5.030517578125" w:line="289.88402366638184" w:lineRule="auto"/>
        <w:ind w:left="60.800018310546875" w:right="440.20263671875"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2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5.030517578125" w:line="240" w:lineRule="auto"/>
        <w:ind w:left="62.1600341796875" w:right="0" w:firstLine="0"/>
        <w:jc w:val="left"/>
        <w:rPr>
          <w:rFonts w:ascii="Arial" w:cs="Arial" w:eastAsia="Arial" w:hAnsi="Arial"/>
          <w:b w:val="1"/>
          <w:bCs w:val="1"/>
          <w:i w:val="0"/>
          <w:iCs w:val="0"/>
          <w:smallCaps w:val="0"/>
          <w:strike w:val="0"/>
          <w:color w:val="0f6b5c"/>
          <w:sz w:val="26"/>
          <w:szCs w:val="26"/>
          <w:u w:val="none"/>
          <w:shd w:fill="auto" w:val="clear"/>
          <w:vertAlign w:val="baseline"/>
        </w:rPr>
      </w:pPr>
      <w:r w:rsidDel="00000000" w:rsidR="00000000" w:rsidRPr="00000000">
        <w:rPr>
          <w:rFonts w:ascii="Arial" w:cs="Arial" w:eastAsia="Arial" w:hAnsi="Arial"/>
          <w:b w:val="1"/>
          <w:bCs w:val="1"/>
          <w:i w:val="0"/>
          <w:iCs w:val="0"/>
          <w:smallCaps w:val="0"/>
          <w:strike w:val="0"/>
          <w:color w:val="0f6b5c"/>
          <w:sz w:val="26"/>
          <w:szCs w:val="26"/>
          <w:u w:val="none"/>
          <w:shd w:fill="auto" w:val="clear"/>
          <w:vertAlign w:val="baseline"/>
          <w:rtl w:val="0"/>
        </w:rPr>
        <w:t xml:space="preserve">Week-by-Week Plan </w:t>
      </w:r>
    </w:p>
    <w:tbl>
      <w:tblPr>
        <w:tblStyle w:val="Table22"/>
        <w:tblW w:w="9648.000183105469" w:type="dxa"/>
        <w:jc w:val="left"/>
        <w:tblInd w:w="144.00009155273438"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20"/>
        <w:gridCol w:w="1872.0001220703125"/>
        <w:gridCol w:w="7056.000061035156"/>
        <w:tblGridChange w:id="0">
          <w:tblGrid>
            <w:gridCol w:w="720"/>
            <w:gridCol w:w="1872.0001220703125"/>
            <w:gridCol w:w="7056.000061035156"/>
          </w:tblGrid>
        </w:tblGridChange>
      </w:tblGrid>
      <w:tr>
        <w:trPr>
          <w:cantSplit w:val="0"/>
          <w:trHeight w:val="368.0004882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i w:val="0"/>
                <w:iCs w:val="0"/>
                <w:smallCaps w:val="0"/>
                <w:strike w:val="0"/>
                <w:sz w:val="16.600000381469727"/>
                <w:szCs w:val="16.600000381469727"/>
                <w:u w:val="none"/>
                <w:shd w:fill="auto" w:val="clear"/>
                <w:vertAlign w:val="baseline"/>
              </w:rPr>
            </w:pPr>
            <w:r w:rsidDel="00000000" w:rsidR="00000000" w:rsidRPr="00000000">
              <w:rPr>
                <w:rFonts w:ascii="Arial" w:cs="Arial" w:eastAsia="Arial" w:hAnsi="Arial"/>
                <w:b w:val="1"/>
                <w:bCs w:val="1"/>
                <w:i w:val="0"/>
                <w:iCs w:val="0"/>
                <w:smallCaps w:val="0"/>
                <w:strike w:val="0"/>
                <w:sz w:val="16.600000381469727"/>
                <w:szCs w:val="16.600000381469727"/>
                <w:u w:val="none"/>
                <w:shd w:fill="auto" w:val="clear"/>
                <w:vertAlign w:val="baseline"/>
                <w:rtl w:val="0"/>
              </w:rPr>
              <w:t xml:space="preserve">Week </w:t>
            </w:r>
          </w:p>
        </w:tc>
        <w:tc>
          <w:tcPr>
            <w:shd w:fill="auto" w:val="clear"/>
            <w:tcMar>
              <w:top w:w="100.0" w:type="dxa"/>
              <w:left w:w="100.0" w:type="dxa"/>
              <w:bottom w:w="100.0" w:type="dxa"/>
              <w:right w:w="100.0" w:type="dxa"/>
            </w:tcMar>
            <w:vAlign w:val="top"/>
          </w:tcPr>
          <w:p w:rsidR="00000000" w:rsidDel="00000000" w:rsidP="00000000" w:rsidRDefault="00000000" w:rsidRPr="00000000" w14:paraId="000002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32406616210938" w:right="0" w:firstLine="0"/>
              <w:jc w:val="left"/>
              <w:rPr>
                <w:rFonts w:ascii="Arial" w:cs="Arial" w:eastAsia="Arial" w:hAnsi="Arial"/>
                <w:b w:val="1"/>
                <w:bCs w:val="1"/>
                <w:i w:val="0"/>
                <w:iCs w:val="0"/>
                <w:smallCaps w:val="0"/>
                <w:strike w:val="0"/>
                <w:sz w:val="16.600000381469727"/>
                <w:szCs w:val="16.600000381469727"/>
                <w:u w:val="none"/>
                <w:shd w:fill="auto" w:val="clear"/>
                <w:vertAlign w:val="baseline"/>
              </w:rPr>
            </w:pPr>
            <w:r w:rsidDel="00000000" w:rsidR="00000000" w:rsidRPr="00000000">
              <w:rPr>
                <w:rFonts w:ascii="Arial" w:cs="Arial" w:eastAsia="Arial" w:hAnsi="Arial"/>
                <w:b w:val="1"/>
                <w:bCs w:val="1"/>
                <w:i w:val="0"/>
                <w:iCs w:val="0"/>
                <w:smallCaps w:val="0"/>
                <w:strike w:val="0"/>
                <w:sz w:val="16.600000381469727"/>
                <w:szCs w:val="16.600000381469727"/>
                <w:u w:val="none"/>
                <w:shd w:fill="auto" w:val="clear"/>
                <w:vertAlign w:val="baseline"/>
                <w:rtl w:val="0"/>
              </w:rPr>
              <w:t xml:space="preserve">Theme </w:t>
            </w:r>
          </w:p>
        </w:tc>
        <w:tc>
          <w:tcPr>
            <w:shd w:fill="auto" w:val="clear"/>
            <w:tcMar>
              <w:top w:w="100.0" w:type="dxa"/>
              <w:left w:w="100.0" w:type="dxa"/>
              <w:bottom w:w="100.0" w:type="dxa"/>
              <w:right w:w="100.0" w:type="dxa"/>
            </w:tcMar>
            <w:vAlign w:val="top"/>
          </w:tcPr>
          <w:p w:rsidR="00000000" w:rsidDel="00000000" w:rsidP="00000000" w:rsidRDefault="00000000" w:rsidRPr="00000000" w14:paraId="000002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4.442138671875" w:right="0" w:firstLine="0"/>
              <w:jc w:val="left"/>
              <w:rPr>
                <w:rFonts w:ascii="Arial" w:cs="Arial" w:eastAsia="Arial" w:hAnsi="Arial"/>
                <w:b w:val="1"/>
                <w:bCs w:val="1"/>
                <w:i w:val="0"/>
                <w:iCs w:val="0"/>
                <w:smallCaps w:val="0"/>
                <w:strike w:val="0"/>
                <w:sz w:val="16.600000381469727"/>
                <w:szCs w:val="16.600000381469727"/>
                <w:u w:val="none"/>
                <w:shd w:fill="auto" w:val="clear"/>
                <w:vertAlign w:val="baseline"/>
              </w:rPr>
            </w:pPr>
            <w:r w:rsidDel="00000000" w:rsidR="00000000" w:rsidRPr="00000000">
              <w:rPr>
                <w:rFonts w:ascii="Arial" w:cs="Arial" w:eastAsia="Arial" w:hAnsi="Arial"/>
                <w:b w:val="1"/>
                <w:bCs w:val="1"/>
                <w:i w:val="0"/>
                <w:iCs w:val="0"/>
                <w:smallCaps w:val="0"/>
                <w:strike w:val="0"/>
                <w:sz w:val="16.600000381469727"/>
                <w:szCs w:val="16.600000381469727"/>
                <w:u w:val="none"/>
                <w:shd w:fill="auto" w:val="clear"/>
                <w:vertAlign w:val="baseline"/>
                <w:rtl w:val="0"/>
              </w:rPr>
              <w:t xml:space="preserve">Key actions</w:t>
            </w:r>
          </w:p>
        </w:tc>
      </w:tr>
      <w:tr>
        <w:trPr>
          <w:cantSplit w:val="0"/>
          <w:trHeight w:val="783.999633789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6.159973144531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1 </w:t>
            </w:r>
          </w:p>
        </w:tc>
        <w:tc>
          <w:tcPr>
            <w:shd w:fill="auto" w:val="clear"/>
            <w:tcMar>
              <w:top w:w="100.0" w:type="dxa"/>
              <w:left w:w="100.0" w:type="dxa"/>
              <w:bottom w:w="100.0" w:type="dxa"/>
              <w:right w:w="100.0" w:type="dxa"/>
            </w:tcMar>
            <w:vAlign w:val="top"/>
          </w:tcPr>
          <w:p w:rsidR="00000000" w:rsidDel="00000000" w:rsidP="00000000" w:rsidRDefault="00000000" w:rsidRPr="00000000" w14:paraId="000002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84005737304688"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Baseline and setup </w:t>
            </w:r>
          </w:p>
        </w:tc>
        <w:tc>
          <w:tcPr>
            <w:shd w:fill="auto" w:val="clear"/>
            <w:tcMar>
              <w:top w:w="100.0" w:type="dxa"/>
              <w:left w:w="100.0" w:type="dxa"/>
              <w:bottom w:w="100.0" w:type="dxa"/>
              <w:right w:w="100.0" w:type="dxa"/>
            </w:tcMar>
            <w:vAlign w:val="top"/>
          </w:tcPr>
          <w:p w:rsidR="00000000" w:rsidDel="00000000" w:rsidP="00000000" w:rsidRDefault="00000000" w:rsidRPr="00000000" w14:paraId="000002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2.12519645690918" w:lineRule="auto"/>
              <w:ind w:left="119.28009033203125" w:right="284.7216796875" w:firstLine="4.7998046875"/>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Record blood pressure twice daily. Measure waist circumference. Log your eating window, bedtime, and steps for 7 days without changing them. Move to a gentle 12-hour overnight fast. Book a clinician visit and a dental checkup.</w:t>
            </w:r>
          </w:p>
        </w:tc>
      </w:tr>
      <w:tr>
        <w:trPr>
          <w:cantSplit w:val="0"/>
          <w:trHeight w:val="784.00024414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16000366210938"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2 </w:t>
            </w:r>
          </w:p>
        </w:tc>
        <w:tc>
          <w:tcPr>
            <w:shd w:fill="auto" w:val="clear"/>
            <w:tcMar>
              <w:top w:w="100.0" w:type="dxa"/>
              <w:left w:w="100.0" w:type="dxa"/>
              <w:bottom w:w="100.0" w:type="dxa"/>
              <w:right w:w="100.0" w:type="dxa"/>
            </w:tcMar>
            <w:vAlign w:val="top"/>
          </w:tcPr>
          <w:p w:rsidR="00000000" w:rsidDel="00000000" w:rsidP="00000000" w:rsidRDefault="00000000" w:rsidRPr="00000000" w14:paraId="000002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84005737304688"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Build structure </w:t>
            </w:r>
          </w:p>
        </w:tc>
        <w:tc>
          <w:tcPr>
            <w:shd w:fill="auto" w:val="clear"/>
            <w:tcMar>
              <w:top w:w="100.0" w:type="dxa"/>
              <w:left w:w="100.0" w:type="dxa"/>
              <w:bottom w:w="100.0" w:type="dxa"/>
              <w:right w:w="100.0" w:type="dxa"/>
            </w:tcMar>
            <w:vAlign w:val="top"/>
          </w:tcPr>
          <w:p w:rsidR="00000000" w:rsidDel="00000000" w:rsidP="00000000" w:rsidRDefault="00000000" w:rsidRPr="00000000" w14:paraId="000002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2.1255397796631" w:lineRule="auto"/>
              <w:ind w:left="112.239990234375" w:right="244.7216796875" w:firstLine="10.0799560546875"/>
              <w:jc w:val="both"/>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Hold the 12-hour fast; move your last bite to 3+ hours before bed. Start your aerobic target and add two strength sessions. Set a fixed wake time. Swap 10% of ultra-processed food for whole food. Add greens, berries, nuts, and olive oil most days. Confirm vaccinations are current.</w:t>
            </w:r>
          </w:p>
        </w:tc>
      </w:tr>
      <w:tr>
        <w:trPr>
          <w:cantSplit w:val="0"/>
          <w:trHeight w:val="783.999633789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44006347656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3 </w:t>
            </w:r>
          </w:p>
        </w:tc>
        <w:tc>
          <w:tcPr>
            <w:shd w:fill="auto" w:val="clear"/>
            <w:tcMar>
              <w:top w:w="100.0" w:type="dxa"/>
              <w:left w:w="100.0" w:type="dxa"/>
              <w:bottom w:w="100.0" w:type="dxa"/>
              <w:right w:w="100.0" w:type="dxa"/>
            </w:tcMar>
            <w:vAlign w:val="top"/>
          </w:tcPr>
          <w:p w:rsidR="00000000" w:rsidDel="00000000" w:rsidP="00000000" w:rsidRDefault="00000000" w:rsidRPr="00000000" w14:paraId="000002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96005249023438"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Deepen the habit </w:t>
            </w:r>
          </w:p>
        </w:tc>
        <w:tc>
          <w:tcPr>
            <w:shd w:fill="auto" w:val="clear"/>
            <w:tcMar>
              <w:top w:w="100.0" w:type="dxa"/>
              <w:left w:w="100.0" w:type="dxa"/>
              <w:bottom w:w="100.0" w:type="dxa"/>
              <w:right w:w="100.0" w:type="dxa"/>
            </w:tcMar>
            <w:vAlign w:val="top"/>
          </w:tcPr>
          <w:p w:rsidR="00000000" w:rsidDel="00000000" w:rsidP="00000000" w:rsidRDefault="00000000" w:rsidRPr="00000000" w14:paraId="000002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2.1255397796631" w:lineRule="auto"/>
              <w:ind w:left="112.239990234375" w:right="338.641357421875" w:firstLine="9.44000244140625"/>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Make cognitive activity genuinely effortful — a new language, instrument, or course. Break up long sitting periods. Push toward 6,000-10,000 steps daily. Check protein intake against your target. Add a HEPA filter to your bedroom if air quality is a concern.</w:t>
            </w:r>
          </w:p>
        </w:tc>
      </w:tr>
      <w:tr>
        <w:trPr>
          <w:cantSplit w:val="0"/>
          <w:trHeight w:val="784.00024414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3.9999389648437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4 </w:t>
            </w:r>
          </w:p>
        </w:tc>
        <w:tc>
          <w:tcPr>
            <w:shd w:fill="auto" w:val="clear"/>
            <w:tcMar>
              <w:top w:w="100.0" w:type="dxa"/>
              <w:left w:w="100.0" w:type="dxa"/>
              <w:bottom w:w="100.0" w:type="dxa"/>
              <w:right w:w="100.0" w:type="dxa"/>
            </w:tcMar>
            <w:vAlign w:val="top"/>
          </w:tcPr>
          <w:p w:rsidR="00000000" w:rsidDel="00000000" w:rsidP="00000000" w:rsidRDefault="00000000" w:rsidRPr="00000000" w14:paraId="000002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7.03994750976562"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Consolidate and plan </w:t>
            </w:r>
          </w:p>
        </w:tc>
        <w:tc>
          <w:tcPr>
            <w:shd w:fill="auto" w:val="clear"/>
            <w:tcMar>
              <w:top w:w="100.0" w:type="dxa"/>
              <w:left w:w="100.0" w:type="dxa"/>
              <w:bottom w:w="100.0" w:type="dxa"/>
              <w:right w:w="100.0" w:type="dxa"/>
            </w:tcMar>
            <w:vAlign w:val="top"/>
          </w:tcPr>
          <w:p w:rsidR="00000000" w:rsidDel="00000000" w:rsidP="00000000" w:rsidRDefault="00000000" w:rsidRPr="00000000" w14:paraId="000002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2.1255397796631" w:lineRule="auto"/>
              <w:ind w:left="111.75994873046875" w:right="347.76123046875" w:firstLine="12.3199462890625"/>
              <w:jc w:val="both"/>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Re-measure blood pressure, waist, sleep, and steps; compare with Week 1. Drop any add-on you didn't enjoy — a habit you abandon is worth nothing. Choose two actions to hold for a full year. Write your Day 31 plan.</w:t>
            </w:r>
          </w:p>
        </w:tc>
      </w:tr>
    </w:tbl>
    <w:p w:rsidR="00000000" w:rsidDel="00000000" w:rsidP="00000000" w:rsidRDefault="00000000" w:rsidRPr="00000000" w14:paraId="000002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1.9000244140625" w:right="0" w:firstLine="0"/>
        <w:jc w:val="left"/>
        <w:rPr>
          <w:rFonts w:ascii="Arial" w:cs="Arial" w:eastAsia="Arial" w:hAnsi="Arial"/>
          <w:b w:val="1"/>
          <w:bCs w:val="1"/>
          <w:i w:val="0"/>
          <w:iCs w:val="0"/>
          <w:smallCaps w:val="0"/>
          <w:strike w:val="0"/>
          <w:color w:val="0f6b5c"/>
          <w:sz w:val="26"/>
          <w:szCs w:val="26"/>
          <w:u w:val="none"/>
          <w:shd w:fill="auto" w:val="clear"/>
          <w:vertAlign w:val="baseline"/>
        </w:rPr>
      </w:pPr>
      <w:r w:rsidDel="00000000" w:rsidR="00000000" w:rsidRPr="00000000">
        <w:rPr>
          <w:rFonts w:ascii="Arial" w:cs="Arial" w:eastAsia="Arial" w:hAnsi="Arial"/>
          <w:b w:val="1"/>
          <w:bCs w:val="1"/>
          <w:i w:val="0"/>
          <w:iCs w:val="0"/>
          <w:smallCaps w:val="0"/>
          <w:strike w:val="0"/>
          <w:color w:val="0f6b5c"/>
          <w:sz w:val="26"/>
          <w:szCs w:val="26"/>
          <w:u w:val="none"/>
          <w:shd w:fill="auto" w:val="clear"/>
          <w:vertAlign w:val="baseline"/>
          <w:rtl w:val="0"/>
        </w:rPr>
        <w:t xml:space="preserve">Your Daily Checklist </w:t>
      </w:r>
    </w:p>
    <w:p w:rsidR="00000000" w:rsidDel="00000000" w:rsidP="00000000" w:rsidRDefault="00000000" w:rsidRPr="00000000" w14:paraId="000002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6.5802001953125" w:line="240" w:lineRule="auto"/>
        <w:ind w:left="61.060028076171875"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8.333333333333336"/>
          <w:szCs w:val="28.333333333333336"/>
          <w:u w:val="none"/>
          <w:shd w:fill="auto" w:val="clear"/>
          <w:vertAlign w:val="superscript"/>
          <w:rtl w:val="0"/>
        </w:rPr>
        <w:t xml:space="preserve">•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Ate the KetoFLEX 12/3 way — 12-hour fast, last bite 3+ hours before bed </w:t>
      </w:r>
    </w:p>
    <w:p w:rsidR="00000000" w:rsidDel="00000000" w:rsidP="00000000" w:rsidRDefault="00000000" w:rsidRPr="00000000" w14:paraId="000002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4.9298095703125" w:line="240" w:lineRule="auto"/>
        <w:ind w:left="61.060028076171875"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8.333333333333336"/>
          <w:szCs w:val="28.333333333333336"/>
          <w:u w:val="none"/>
          <w:shd w:fill="auto" w:val="clear"/>
          <w:vertAlign w:val="superscript"/>
          <w:rtl w:val="0"/>
        </w:rPr>
        <w:t xml:space="preserve">•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Moved my body today (aerobic or strength, per the weekly target) </w:t>
      </w:r>
    </w:p>
    <w:p w:rsidR="00000000" w:rsidDel="00000000" w:rsidP="00000000" w:rsidRDefault="00000000" w:rsidRPr="00000000" w14:paraId="000002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4.9298095703125" w:line="240" w:lineRule="auto"/>
        <w:ind w:left="61.060028076171875"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8.333333333333336"/>
          <w:szCs w:val="28.333333333333336"/>
          <w:u w:val="none"/>
          <w:shd w:fill="auto" w:val="clear"/>
          <w:vertAlign w:val="superscript"/>
          <w:rtl w:val="0"/>
        </w:rPr>
        <w:t xml:space="preserve">•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Protected 7-9 hours of sleep on a consistent schedule </w:t>
      </w:r>
    </w:p>
    <w:p w:rsidR="00000000" w:rsidDel="00000000" w:rsidP="00000000" w:rsidRDefault="00000000" w:rsidRPr="00000000" w14:paraId="000002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4.9298095703125" w:line="240" w:lineRule="auto"/>
        <w:ind w:left="61.060028076171875"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8.333333333333336"/>
          <w:szCs w:val="28.333333333333336"/>
          <w:u w:val="none"/>
          <w:shd w:fill="auto" w:val="clear"/>
          <w:vertAlign w:val="superscript"/>
          <w:rtl w:val="0"/>
        </w:rPr>
        <w:t xml:space="preserve">•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Did one genuinely hard cognitive task and had one real social contact </w:t>
      </w:r>
    </w:p>
    <w:p w:rsidR="00000000" w:rsidDel="00000000" w:rsidP="00000000" w:rsidRDefault="00000000" w:rsidRPr="00000000" w14:paraId="000002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4.9298095703125" w:line="240" w:lineRule="auto"/>
        <w:ind w:left="61.060028076171875"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8.333333333333336"/>
          <w:szCs w:val="28.333333333333336"/>
          <w:u w:val="none"/>
          <w:shd w:fill="auto" w:val="clear"/>
          <w:vertAlign w:val="superscript"/>
          <w:rtl w:val="0"/>
        </w:rPr>
        <w:t xml:space="preserve">•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Logged my numbers (blood pressure, and blood sugar/ketones if tracking) </w:t>
      </w:r>
    </w:p>
    <w:p w:rsidR="00000000" w:rsidDel="00000000" w:rsidP="00000000" w:rsidRDefault="00000000" w:rsidRPr="00000000" w14:paraId="000002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4.9298095703125" w:line="240" w:lineRule="auto"/>
        <w:ind w:left="61.060028076171875"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8.333333333333336"/>
          <w:szCs w:val="28.333333333333336"/>
          <w:u w:val="none"/>
          <w:shd w:fill="auto" w:val="clear"/>
          <w:vertAlign w:val="superscript"/>
          <w:rtl w:val="0"/>
        </w:rPr>
        <w:t xml:space="preserve">•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Brushed and flossed; kept up basic oral hygiene</w:t>
      </w:r>
    </w:p>
    <w:p w:rsidR="00000000" w:rsidDel="00000000" w:rsidP="00000000" w:rsidRDefault="00000000" w:rsidRPr="00000000" w14:paraId="000002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7.760009765625" w:right="0" w:firstLine="0"/>
        <w:jc w:val="left"/>
        <w:rPr>
          <w:rFonts w:ascii="Arial" w:cs="Arial" w:eastAsia="Arial" w:hAnsi="Arial"/>
          <w:b w:val="1"/>
          <w:bCs w:val="1"/>
          <w:i w:val="0"/>
          <w:iCs w:val="0"/>
          <w:smallCaps w:val="0"/>
          <w:strike w:val="0"/>
          <w:color w:val="0f6b5c"/>
          <w:sz w:val="26"/>
          <w:szCs w:val="26"/>
          <w:u w:val="none"/>
          <w:shd w:fill="auto" w:val="clear"/>
          <w:vertAlign w:val="baseline"/>
        </w:rPr>
      </w:pPr>
      <w:r w:rsidDel="00000000" w:rsidR="00000000" w:rsidRPr="00000000">
        <w:rPr>
          <w:rFonts w:ascii="Arial" w:cs="Arial" w:eastAsia="Arial" w:hAnsi="Arial"/>
          <w:b w:val="1"/>
          <w:bCs w:val="1"/>
          <w:i w:val="0"/>
          <w:iCs w:val="0"/>
          <w:smallCaps w:val="0"/>
          <w:strike w:val="0"/>
          <w:color w:val="0f6b5c"/>
          <w:sz w:val="26"/>
          <w:szCs w:val="26"/>
          <w:u w:val="none"/>
          <w:shd w:fill="auto" w:val="clear"/>
          <w:vertAlign w:val="baseline"/>
          <w:rtl w:val="0"/>
        </w:rPr>
        <w:t xml:space="preserve">Do NOT Start These On Your Own </w:t>
      </w:r>
    </w:p>
    <w:p w:rsidR="00000000" w:rsidDel="00000000" w:rsidP="00000000" w:rsidRDefault="00000000" w:rsidRPr="00000000" w14:paraId="000002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6.57958984375" w:line="284.0968608856201" w:lineRule="auto"/>
        <w:ind w:left="69.97001647949219" w:right="20.601806640625" w:firstLine="4.3700408935546875"/>
        <w:jc w:val="left"/>
        <w:rPr>
          <w:rFonts w:ascii="Arial" w:cs="Arial" w:eastAsia="Arial" w:hAnsi="Arial"/>
          <w:b w:val="0"/>
          <w:bCs w:val="0"/>
          <w:i w:val="0"/>
          <w:iCs w:val="0"/>
          <w:smallCaps w:val="0"/>
          <w:strike w:val="0"/>
          <w:color w:val="1b3a4b"/>
          <w:sz w:val="19"/>
          <w:szCs w:val="19"/>
          <w:u w:val="none"/>
          <w:shd w:fill="auto" w:val="clear"/>
          <w:vertAlign w:val="baseline"/>
        </w:rPr>
      </w:pPr>
      <w:r w:rsidDel="00000000" w:rsidR="00000000" w:rsidRPr="00000000">
        <w:rPr>
          <w:rFonts w:ascii="Arial" w:cs="Arial" w:eastAsia="Arial" w:hAnsi="Arial"/>
          <w:b w:val="0"/>
          <w:bCs w:val="0"/>
          <w:i w:val="0"/>
          <w:iCs w:val="0"/>
          <w:smallCaps w:val="0"/>
          <w:strike w:val="0"/>
          <w:color w:val="1b3a4b"/>
          <w:sz w:val="19"/>
          <w:szCs w:val="19"/>
          <w:u w:val="none"/>
          <w:shd w:fill="auto" w:val="clear"/>
          <w:vertAlign w:val="baseline"/>
          <w:rtl w:val="0"/>
        </w:rPr>
        <w:t xml:space="preserve">Every item below belongs in a "discuss with a clinician first" category. None are required for this 30-day program, and starting any without medical supervision can be unsafe.</w:t>
      </w:r>
    </w:p>
    <w:tbl>
      <w:tblPr>
        <w:tblStyle w:val="Table23"/>
        <w:tblW w:w="9648.000183105469" w:type="dxa"/>
        <w:jc w:val="left"/>
        <w:tblInd w:w="144.00009155273438"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312.0001220703125"/>
        <w:gridCol w:w="6336.000061035156"/>
        <w:tblGridChange w:id="0">
          <w:tblGrid>
            <w:gridCol w:w="3312.0001220703125"/>
            <w:gridCol w:w="6336.000061035156"/>
          </w:tblGrid>
        </w:tblGridChange>
      </w:tblGrid>
      <w:tr>
        <w:trPr>
          <w:cantSplit w:val="0"/>
          <w:trHeight w:val="368.0004882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615966796875" w:right="0" w:firstLine="0"/>
              <w:jc w:val="left"/>
              <w:rPr>
                <w:rFonts w:ascii="Arial" w:cs="Arial" w:eastAsia="Arial" w:hAnsi="Arial"/>
                <w:b w:val="1"/>
                <w:bCs w:val="1"/>
                <w:i w:val="0"/>
                <w:iCs w:val="0"/>
                <w:smallCaps w:val="0"/>
                <w:strike w:val="0"/>
                <w:sz w:val="16.600000381469727"/>
                <w:szCs w:val="16.600000381469727"/>
                <w:u w:val="none"/>
                <w:shd w:fill="auto" w:val="clear"/>
                <w:vertAlign w:val="baseline"/>
              </w:rPr>
            </w:pPr>
            <w:r w:rsidDel="00000000" w:rsidR="00000000" w:rsidRPr="00000000">
              <w:rPr>
                <w:rFonts w:ascii="Arial" w:cs="Arial" w:eastAsia="Arial" w:hAnsi="Arial"/>
                <w:b w:val="1"/>
                <w:bCs w:val="1"/>
                <w:i w:val="0"/>
                <w:iCs w:val="0"/>
                <w:smallCaps w:val="0"/>
                <w:strike w:val="0"/>
                <w:sz w:val="16.600000381469727"/>
                <w:szCs w:val="16.600000381469727"/>
                <w:u w:val="none"/>
                <w:shd w:fill="auto" w:val="clear"/>
                <w:vertAlign w:val="baseline"/>
                <w:rtl w:val="0"/>
              </w:rPr>
              <w:t xml:space="preserve">Do not self-start </w:t>
            </w:r>
          </w:p>
        </w:tc>
        <w:tc>
          <w:tcPr>
            <w:shd w:fill="auto" w:val="clear"/>
            <w:tcMar>
              <w:top w:w="100.0" w:type="dxa"/>
              <w:left w:w="100.0" w:type="dxa"/>
              <w:bottom w:w="100.0" w:type="dxa"/>
              <w:right w:w="100.0" w:type="dxa"/>
            </w:tcMar>
            <w:vAlign w:val="top"/>
          </w:tcPr>
          <w:p w:rsidR="00000000" w:rsidDel="00000000" w:rsidP="00000000" w:rsidRDefault="00000000" w:rsidRPr="00000000" w14:paraId="000002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65594482421875" w:right="0" w:firstLine="0"/>
              <w:jc w:val="left"/>
              <w:rPr>
                <w:rFonts w:ascii="Arial" w:cs="Arial" w:eastAsia="Arial" w:hAnsi="Arial"/>
                <w:b w:val="1"/>
                <w:bCs w:val="1"/>
                <w:i w:val="0"/>
                <w:iCs w:val="0"/>
                <w:smallCaps w:val="0"/>
                <w:strike w:val="0"/>
                <w:sz w:val="16.600000381469727"/>
                <w:szCs w:val="16.600000381469727"/>
                <w:u w:val="none"/>
                <w:shd w:fill="auto" w:val="clear"/>
                <w:vertAlign w:val="baseline"/>
              </w:rPr>
            </w:pPr>
            <w:r w:rsidDel="00000000" w:rsidR="00000000" w:rsidRPr="00000000">
              <w:rPr>
                <w:rFonts w:ascii="Arial" w:cs="Arial" w:eastAsia="Arial" w:hAnsi="Arial"/>
                <w:b w:val="1"/>
                <w:bCs w:val="1"/>
                <w:i w:val="0"/>
                <w:iCs w:val="0"/>
                <w:smallCaps w:val="0"/>
                <w:strike w:val="0"/>
                <w:sz w:val="16.600000381469727"/>
                <w:szCs w:val="16.600000381469727"/>
                <w:u w:val="none"/>
                <w:shd w:fill="auto" w:val="clear"/>
                <w:vertAlign w:val="baseline"/>
                <w:rtl w:val="0"/>
              </w:rPr>
              <w:t xml:space="preserve">Why — discuss with a clinician instead</w:t>
            </w:r>
          </w:p>
        </w:tc>
      </w:tr>
      <w:tr>
        <w:trPr>
          <w:cantSplit w:val="0"/>
          <w:trHeight w:val="575.99975585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31994628906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Hormone therapy (including menopausal) </w:t>
            </w:r>
          </w:p>
        </w:tc>
        <w:tc>
          <w:tcPr>
            <w:shd w:fill="auto" w:val="clear"/>
            <w:tcMar>
              <w:top w:w="100.0" w:type="dxa"/>
              <w:left w:w="100.0" w:type="dxa"/>
              <w:bottom w:w="100.0" w:type="dxa"/>
              <w:right w:w="100.0" w:type="dxa"/>
            </w:tcMar>
            <w:vAlign w:val="top"/>
          </w:tcPr>
          <w:p w:rsidR="00000000" w:rsidDel="00000000" w:rsidP="00000000" w:rsidRDefault="00000000" w:rsidRPr="00000000" w14:paraId="000002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231201171875" w:lineRule="auto"/>
              <w:ind w:left="122.3199462890625" w:right="730.640869140625" w:hanging="10.0799560546875"/>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The 2026 WHO guideline recommends against it specifically for dementia risk reduction; menopause symptoms should be evaluated on their own merits</w:t>
            </w:r>
          </w:p>
        </w:tc>
      </w:tr>
      <w:tr>
        <w:trPr>
          <w:cantSplit w:val="0"/>
          <w:trHeight w:val="575.99975585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23999023437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Any new prescription medication </w:t>
            </w:r>
          </w:p>
        </w:tc>
        <w:tc>
          <w:tcPr>
            <w:shd w:fill="auto" w:val="clear"/>
            <w:tcMar>
              <w:top w:w="100.0" w:type="dxa"/>
              <w:left w:w="100.0" w:type="dxa"/>
              <w:bottom w:w="100.0" w:type="dxa"/>
              <w:right w:w="100.0" w:type="dxa"/>
            </w:tcMar>
            <w:vAlign w:val="top"/>
          </w:tcPr>
          <w:p w:rsidR="00000000" w:rsidDel="00000000" w:rsidP="00000000" w:rsidRDefault="00000000" w:rsidRPr="00000000" w14:paraId="000002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231201171875" w:lineRule="auto"/>
              <w:ind w:left="119.28009033203125" w:right="481.361083984375" w:firstLine="5.27984619140625"/>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Insulin, sulfonylureas, SGLT2 inhibitors, and blood-pressure medications all need physician-guided dose adjustments alongside dietary changes</w:t>
            </w:r>
          </w:p>
        </w:tc>
      </w:tr>
      <w:tr>
        <w:trPr>
          <w:cantSplit w:val="0"/>
          <w:trHeight w:val="575.99975585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3.760070800781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Extended or multi-day fasting </w:t>
            </w:r>
          </w:p>
        </w:tc>
        <w:tc>
          <w:tcPr>
            <w:shd w:fill="auto" w:val="clear"/>
            <w:tcMar>
              <w:top w:w="100.0" w:type="dxa"/>
              <w:left w:w="100.0" w:type="dxa"/>
              <w:bottom w:w="100.0" w:type="dxa"/>
              <w:right w:w="100.0" w:type="dxa"/>
            </w:tcMar>
            <w:vAlign w:val="top"/>
          </w:tcPr>
          <w:p w:rsidR="00000000" w:rsidDel="00000000" w:rsidP="00000000" w:rsidRDefault="00000000" w:rsidRPr="00000000" w14:paraId="000002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231201171875" w:lineRule="auto"/>
              <w:ind w:left="112.239990234375" w:right="125.521240234375"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A 16:8 schedule was linked to greater muscle loss than 12-hour fasting in trials; longer fasts need clinical supervision</w:t>
            </w:r>
          </w:p>
        </w:tc>
      </w:tr>
      <w:tr>
        <w:trPr>
          <w:cantSplit w:val="0"/>
          <w:trHeight w:val="575.99975585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31994628906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High-dose supplements or IV therapy </w:t>
            </w:r>
          </w:p>
        </w:tc>
        <w:tc>
          <w:tcPr>
            <w:shd w:fill="auto" w:val="clear"/>
            <w:tcMar>
              <w:top w:w="100.0" w:type="dxa"/>
              <w:left w:w="100.0" w:type="dxa"/>
              <w:bottom w:w="100.0" w:type="dxa"/>
              <w:right w:w="100.0" w:type="dxa"/>
            </w:tcMar>
            <w:vAlign w:val="top"/>
          </w:tcPr>
          <w:p w:rsidR="00000000" w:rsidDel="00000000" w:rsidP="00000000" w:rsidRDefault="00000000" w:rsidRPr="00000000" w14:paraId="000002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231201171875" w:lineRule="auto"/>
              <w:ind w:left="122.3199462890625" w:right="313.040771484375" w:hanging="9.75982666015625"/>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WHO recommends against B/E vitamins, omega-3s, and multivitamins for dementia risk reduction without a diagnosed deficiency</w:t>
            </w:r>
          </w:p>
        </w:tc>
      </w:tr>
      <w:tr>
        <w:trPr>
          <w:cantSplit w:val="0"/>
          <w:trHeight w:val="576.000976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Heavy-metal chelation or "detox" protocols </w:t>
            </w:r>
          </w:p>
        </w:tc>
        <w:tc>
          <w:tcPr>
            <w:shd w:fill="auto" w:val="clear"/>
            <w:tcMar>
              <w:top w:w="100.0" w:type="dxa"/>
              <w:left w:w="100.0" w:type="dxa"/>
              <w:bottom w:w="100.0" w:type="dxa"/>
              <w:right w:w="100.0" w:type="dxa"/>
            </w:tcMar>
            <w:vAlign w:val="top"/>
          </w:tcPr>
          <w:p w:rsidR="00000000" w:rsidDel="00000000" w:rsidP="00000000" w:rsidRDefault="00000000" w:rsidRPr="00000000" w14:paraId="000002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231201171875" w:lineRule="auto"/>
              <w:ind w:left="120.40008544921875" w:right="366.0009765625" w:firstLine="1.75994873046875"/>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Not supported by mainstream evidence for dementia risk reduction and carries real medical risk</w:t>
            </w:r>
          </w:p>
        </w:tc>
      </w:tr>
      <w:tr>
        <w:trPr>
          <w:cantSplit w:val="0"/>
          <w:trHeight w:val="575.999145507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4.559936523437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Intense new exercise programs (if </w:t>
            </w:r>
          </w:p>
          <w:p w:rsidR="00000000" w:rsidDel="00000000" w:rsidP="00000000" w:rsidRDefault="00000000" w:rsidRPr="00000000" w14:paraId="000002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9400634765625" w:line="240" w:lineRule="auto"/>
              <w:ind w:left="119.27993774414062"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previously sedentary)</w:t>
            </w:r>
          </w:p>
        </w:tc>
        <w:tc>
          <w:tcPr>
            <w:shd w:fill="auto" w:val="clear"/>
            <w:tcMar>
              <w:top w:w="100.0" w:type="dxa"/>
              <w:left w:w="100.0" w:type="dxa"/>
              <w:bottom w:w="100.0" w:type="dxa"/>
              <w:right w:w="100.0" w:type="dxa"/>
            </w:tcMar>
            <w:vAlign w:val="top"/>
          </w:tcPr>
          <w:p w:rsidR="00000000" w:rsidDel="00000000" w:rsidP="00000000" w:rsidRDefault="00000000" w:rsidRPr="00000000" w14:paraId="000002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23185920715332" w:lineRule="auto"/>
              <w:ind w:left="116.400146484375" w:right="410.80078125" w:firstLine="1.2799072265625"/>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Get medical clearance first, especially with cardiovascular, joint, or blood-pressure conditions</w:t>
            </w:r>
          </w:p>
        </w:tc>
      </w:tr>
      <w:tr>
        <w:trPr>
          <w:cantSplit w:val="0"/>
          <w:trHeight w:val="576.00036621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23185920715332" w:lineRule="auto"/>
              <w:ind w:left="122.3199462890625" w:right="170.00030517578125" w:hanging="9.119873046875"/>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Valacyclovir or other antivirals for cognitive reasons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2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23185920715332" w:lineRule="auto"/>
              <w:ind w:left="112.239990234375" w:right="116.881103515625"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The VALAD trial found cognition worsened more on valacyclovir; not recommended by trial authors</w:t>
            </w:r>
          </w:p>
        </w:tc>
      </w:tr>
      <w:tr>
        <w:trPr>
          <w:cantSplit w:val="0"/>
          <w:trHeight w:val="367.99987792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23999023437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Aspirin or NSAIDs for brain health </w:t>
            </w:r>
          </w:p>
        </w:tc>
        <w:tc>
          <w:tcPr>
            <w:shd w:fill="auto" w:val="clear"/>
            <w:tcMar>
              <w:top w:w="100.0" w:type="dxa"/>
              <w:left w:w="100.0" w:type="dxa"/>
              <w:bottom w:w="100.0" w:type="dxa"/>
              <w:right w:w="100.0" w:type="dxa"/>
            </w:tcMar>
            <w:vAlign w:val="top"/>
          </w:tcPr>
          <w:p w:rsidR="00000000" w:rsidDel="00000000" w:rsidP="00000000" w:rsidRDefault="00000000" w:rsidRPr="00000000" w14:paraId="000002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23999023437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ASPREE and ADAPT both found no benefit and increased bleeding risk with aspirin</w:t>
            </w:r>
          </w:p>
        </w:tc>
      </w:tr>
    </w:tbl>
    <w:p w:rsidR="00000000" w:rsidDel="00000000" w:rsidP="00000000" w:rsidRDefault="00000000" w:rsidRPr="00000000" w14:paraId="000002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1.25999450683594" w:right="0" w:firstLine="0"/>
        <w:jc w:val="left"/>
        <w:rPr>
          <w:rFonts w:ascii="Arial" w:cs="Arial" w:eastAsia="Arial" w:hAnsi="Arial"/>
          <w:b w:val="1"/>
          <w:bCs w:val="1"/>
          <w:i w:val="0"/>
          <w:iCs w:val="0"/>
          <w:smallCaps w:val="0"/>
          <w:strike w:val="0"/>
          <w:color w:val="1b3a4b"/>
          <w:sz w:val="34"/>
          <w:szCs w:val="34"/>
          <w:u w:val="none"/>
          <w:shd w:fill="auto" w:val="clear"/>
          <w:vertAlign w:val="baseline"/>
        </w:rPr>
      </w:pPr>
      <w:r w:rsidDel="00000000" w:rsidR="00000000" w:rsidRPr="00000000">
        <w:rPr>
          <w:rFonts w:ascii="Arial" w:cs="Arial" w:eastAsia="Arial" w:hAnsi="Arial"/>
          <w:b w:val="1"/>
          <w:bCs w:val="1"/>
          <w:i w:val="0"/>
          <w:iCs w:val="0"/>
          <w:smallCaps w:val="0"/>
          <w:strike w:val="0"/>
          <w:color w:val="1b3a4b"/>
          <w:sz w:val="34"/>
          <w:szCs w:val="34"/>
          <w:u w:val="none"/>
          <w:shd w:fill="auto" w:val="clear"/>
          <w:vertAlign w:val="baseline"/>
          <w:rtl w:val="0"/>
        </w:rPr>
        <w:t xml:space="preserve">Section 9: Baseline Medical Evaluation </w:t>
      </w:r>
    </w:p>
    <w:p w:rsidR="00000000" w:rsidDel="00000000" w:rsidP="00000000" w:rsidRDefault="00000000" w:rsidRPr="00000000" w14:paraId="000002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3.22021484375" w:line="289.88402366638184" w:lineRule="auto"/>
        <w:ind w:left="65" w:right="165.601806640625" w:hanging="4.199981689453125"/>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Almost nothing here is a dementia test. These are general-health tests for risk factors linked to dementia — a different and more honest claim. The US Preventive Services Task Force gives an "I" statement — insufficient evidence — for screening symptom-free older adults for cognitive impairment itself. That does not mean harmful; it means nobody has shown it helps. </w:t>
      </w:r>
    </w:p>
    <w:p w:rsidR="00000000" w:rsidDel="00000000" w:rsidP="00000000" w:rsidRDefault="00000000" w:rsidRPr="00000000" w14:paraId="000002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5.030517578125" w:line="240" w:lineRule="auto"/>
        <w:ind w:left="61.6400146484375" w:right="0" w:firstLine="0"/>
        <w:jc w:val="left"/>
        <w:rPr>
          <w:rFonts w:ascii="Arial" w:cs="Arial" w:eastAsia="Arial" w:hAnsi="Arial"/>
          <w:b w:val="1"/>
          <w:bCs w:val="1"/>
          <w:i w:val="0"/>
          <w:iCs w:val="0"/>
          <w:smallCaps w:val="0"/>
          <w:strike w:val="0"/>
          <w:color w:val="0f6b5c"/>
          <w:sz w:val="26"/>
          <w:szCs w:val="26"/>
          <w:u w:val="none"/>
          <w:shd w:fill="auto" w:val="clear"/>
          <w:vertAlign w:val="baseline"/>
        </w:rPr>
      </w:pPr>
      <w:r w:rsidDel="00000000" w:rsidR="00000000" w:rsidRPr="00000000">
        <w:rPr>
          <w:rFonts w:ascii="Arial" w:cs="Arial" w:eastAsia="Arial" w:hAnsi="Arial"/>
          <w:b w:val="1"/>
          <w:bCs w:val="1"/>
          <w:i w:val="0"/>
          <w:iCs w:val="0"/>
          <w:smallCaps w:val="0"/>
          <w:strike w:val="0"/>
          <w:color w:val="0f6b5c"/>
          <w:sz w:val="26"/>
          <w:szCs w:val="26"/>
          <w:u w:val="none"/>
          <w:shd w:fill="auto" w:val="clear"/>
          <w:vertAlign w:val="baseline"/>
          <w:rtl w:val="0"/>
        </w:rPr>
        <w:t xml:space="preserve">Table A: Routine, Evidence-Based Testing</w:t>
      </w:r>
    </w:p>
    <w:tbl>
      <w:tblPr>
        <w:tblStyle w:val="Table24"/>
        <w:tblW w:w="9648.000183105469" w:type="dxa"/>
        <w:jc w:val="left"/>
        <w:tblInd w:w="144.00009155273438"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016.0000610351562"/>
        <w:gridCol w:w="3599.9993896484375"/>
        <w:gridCol w:w="4032.000732421875"/>
        <w:tblGridChange w:id="0">
          <w:tblGrid>
            <w:gridCol w:w="2016.0000610351562"/>
            <w:gridCol w:w="3599.9993896484375"/>
            <w:gridCol w:w="4032.000732421875"/>
          </w:tblGrid>
        </w:tblGridChange>
      </w:tblGrid>
      <w:tr>
        <w:trPr>
          <w:cantSplit w:val="0"/>
          <w:trHeight w:val="368.0004882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32406616210938" w:right="0" w:firstLine="0"/>
              <w:jc w:val="left"/>
              <w:rPr>
                <w:rFonts w:ascii="Arial" w:cs="Arial" w:eastAsia="Arial" w:hAnsi="Arial"/>
                <w:b w:val="1"/>
                <w:bCs w:val="1"/>
                <w:i w:val="0"/>
                <w:iCs w:val="0"/>
                <w:smallCaps w:val="0"/>
                <w:strike w:val="0"/>
                <w:sz w:val="16.600000381469727"/>
                <w:szCs w:val="16.600000381469727"/>
                <w:u w:val="none"/>
                <w:shd w:fill="auto" w:val="clear"/>
                <w:vertAlign w:val="baseline"/>
              </w:rPr>
            </w:pPr>
            <w:r w:rsidDel="00000000" w:rsidR="00000000" w:rsidRPr="00000000">
              <w:rPr>
                <w:rFonts w:ascii="Arial" w:cs="Arial" w:eastAsia="Arial" w:hAnsi="Arial"/>
                <w:b w:val="1"/>
                <w:bCs w:val="1"/>
                <w:i w:val="0"/>
                <w:iCs w:val="0"/>
                <w:smallCaps w:val="0"/>
                <w:strike w:val="0"/>
                <w:sz w:val="16.600000381469727"/>
                <w:szCs w:val="16.600000381469727"/>
                <w:u w:val="none"/>
                <w:shd w:fill="auto" w:val="clear"/>
                <w:vertAlign w:val="baseline"/>
                <w:rtl w:val="0"/>
              </w:rPr>
              <w:t xml:space="preserve">Test </w:t>
            </w:r>
          </w:p>
        </w:tc>
        <w:tc>
          <w:tcPr>
            <w:shd w:fill="auto" w:val="clear"/>
            <w:tcMar>
              <w:top w:w="100.0" w:type="dxa"/>
              <w:left w:w="100.0" w:type="dxa"/>
              <w:bottom w:w="100.0" w:type="dxa"/>
              <w:right w:w="100.0" w:type="dxa"/>
            </w:tcMar>
            <w:vAlign w:val="top"/>
          </w:tcPr>
          <w:p w:rsidR="00000000" w:rsidDel="00000000" w:rsidP="00000000" w:rsidRDefault="00000000" w:rsidRPr="00000000" w14:paraId="000002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65594482421875" w:right="0" w:firstLine="0"/>
              <w:jc w:val="left"/>
              <w:rPr>
                <w:rFonts w:ascii="Arial" w:cs="Arial" w:eastAsia="Arial" w:hAnsi="Arial"/>
                <w:b w:val="1"/>
                <w:bCs w:val="1"/>
                <w:i w:val="0"/>
                <w:iCs w:val="0"/>
                <w:smallCaps w:val="0"/>
                <w:strike w:val="0"/>
                <w:sz w:val="16.600000381469727"/>
                <w:szCs w:val="16.600000381469727"/>
                <w:u w:val="none"/>
                <w:shd w:fill="auto" w:val="clear"/>
                <w:vertAlign w:val="baseline"/>
              </w:rPr>
            </w:pPr>
            <w:r w:rsidDel="00000000" w:rsidR="00000000" w:rsidRPr="00000000">
              <w:rPr>
                <w:rFonts w:ascii="Arial" w:cs="Arial" w:eastAsia="Arial" w:hAnsi="Arial"/>
                <w:b w:val="1"/>
                <w:bCs w:val="1"/>
                <w:i w:val="0"/>
                <w:iCs w:val="0"/>
                <w:smallCaps w:val="0"/>
                <w:strike w:val="0"/>
                <w:sz w:val="16.600000381469727"/>
                <w:szCs w:val="16.600000381469727"/>
                <w:u w:val="none"/>
                <w:shd w:fill="auto" w:val="clear"/>
                <w:vertAlign w:val="baseline"/>
                <w:rtl w:val="0"/>
              </w:rPr>
              <w:t xml:space="preserve">Why it matters </w:t>
            </w:r>
          </w:p>
        </w:tc>
        <w:tc>
          <w:tcPr>
            <w:shd w:fill="auto" w:val="clear"/>
            <w:tcMar>
              <w:top w:w="100.0" w:type="dxa"/>
              <w:left w:w="100.0" w:type="dxa"/>
              <w:bottom w:w="100.0" w:type="dxa"/>
              <w:right w:w="100.0" w:type="dxa"/>
            </w:tcMar>
            <w:vAlign w:val="top"/>
          </w:tcPr>
          <w:p w:rsidR="00000000" w:rsidDel="00000000" w:rsidP="00000000" w:rsidRDefault="00000000" w:rsidRPr="00000000" w14:paraId="000002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615966796875" w:right="0" w:firstLine="0"/>
              <w:jc w:val="left"/>
              <w:rPr>
                <w:rFonts w:ascii="Arial" w:cs="Arial" w:eastAsia="Arial" w:hAnsi="Arial"/>
                <w:b w:val="1"/>
                <w:bCs w:val="1"/>
                <w:i w:val="0"/>
                <w:iCs w:val="0"/>
                <w:smallCaps w:val="0"/>
                <w:strike w:val="0"/>
                <w:sz w:val="16.600000381469727"/>
                <w:szCs w:val="16.600000381469727"/>
                <w:u w:val="none"/>
                <w:shd w:fill="auto" w:val="clear"/>
                <w:vertAlign w:val="baseline"/>
              </w:rPr>
            </w:pPr>
            <w:r w:rsidDel="00000000" w:rsidR="00000000" w:rsidRPr="00000000">
              <w:rPr>
                <w:rFonts w:ascii="Arial" w:cs="Arial" w:eastAsia="Arial" w:hAnsi="Arial"/>
                <w:b w:val="1"/>
                <w:bCs w:val="1"/>
                <w:i w:val="0"/>
                <w:iCs w:val="0"/>
                <w:smallCaps w:val="0"/>
                <w:strike w:val="0"/>
                <w:sz w:val="16.600000381469727"/>
                <w:szCs w:val="16.600000381469727"/>
                <w:u w:val="none"/>
                <w:shd w:fill="auto" w:val="clear"/>
                <w:vertAlign w:val="baseline"/>
                <w:rtl w:val="0"/>
              </w:rPr>
              <w:t xml:space="preserve">Reference target</w:t>
            </w:r>
          </w:p>
        </w:tc>
      </w:tr>
      <w:tr>
        <w:trPr>
          <w:cantSplit w:val="0"/>
          <w:trHeight w:val="575.99975585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84005737304688"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Blood pressure </w:t>
            </w:r>
          </w:p>
        </w:tc>
        <w:tc>
          <w:tcPr>
            <w:shd w:fill="auto" w:val="clear"/>
            <w:tcMar>
              <w:top w:w="100.0" w:type="dxa"/>
              <w:left w:w="100.0" w:type="dxa"/>
              <w:bottom w:w="100.0" w:type="dxa"/>
              <w:right w:w="100.0" w:type="dxa"/>
            </w:tcMar>
            <w:vAlign w:val="top"/>
          </w:tcPr>
          <w:p w:rsidR="00000000" w:rsidDel="00000000" w:rsidP="00000000" w:rsidRDefault="00000000" w:rsidRPr="00000000" w14:paraId="000002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23999023437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The only guideline aimed directly at dementia </w:t>
            </w:r>
          </w:p>
        </w:tc>
        <w:tc>
          <w:tcPr>
            <w:shd w:fill="auto" w:val="clear"/>
            <w:tcMar>
              <w:top w:w="100.0" w:type="dxa"/>
              <w:left w:w="100.0" w:type="dxa"/>
              <w:bottom w:w="100.0" w:type="dxa"/>
              <w:right w:w="100.0" w:type="dxa"/>
            </w:tcMar>
            <w:vAlign w:val="top"/>
          </w:tcPr>
          <w:p w:rsidR="00000000" w:rsidDel="00000000" w:rsidP="00000000" w:rsidRDefault="00000000" w:rsidRPr="00000000" w14:paraId="000002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231201171875" w:lineRule="auto"/>
              <w:ind w:left="121.6802978515625" w:right="160.401611328125" w:firstLine="0.479736328125"/>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Normal 120/80; Class 1 target 130 systolic to prevent MCI/dementia; average 2 readings, 2 occasions</w:t>
            </w:r>
          </w:p>
        </w:tc>
      </w:tr>
      <w:tr>
        <w:trPr>
          <w:cantSplit w:val="0"/>
          <w:trHeight w:val="575.99975585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55996704101562"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Waist and body </w:t>
            </w:r>
          </w:p>
          <w:p w:rsidR="00000000" w:rsidDel="00000000" w:rsidP="00000000" w:rsidRDefault="00000000" w:rsidRPr="00000000" w14:paraId="000002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939453125" w:line="240" w:lineRule="auto"/>
              <w:ind w:left="116.39999389648438"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composition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2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679992675781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Midlife obesity: relative risk 1.3 </w:t>
            </w:r>
          </w:p>
        </w:tc>
        <w:tc>
          <w:tcPr>
            <w:shd w:fill="auto" w:val="clear"/>
            <w:tcMar>
              <w:top w:w="100.0" w:type="dxa"/>
              <w:left w:w="100.0" w:type="dxa"/>
              <w:bottom w:w="100.0" w:type="dxa"/>
              <w:right w:w="100.0" w:type="dxa"/>
            </w:tcMar>
            <w:vAlign w:val="top"/>
          </w:tcPr>
          <w:p w:rsidR="00000000" w:rsidDel="00000000" w:rsidP="00000000" w:rsidRDefault="00000000" w:rsidRPr="00000000" w14:paraId="000002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6.16027832031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102cm men, 88cm women; BMI 30+</w:t>
            </w:r>
          </w:p>
        </w:tc>
      </w:tr>
      <w:tr>
        <w:trPr>
          <w:cantSplit w:val="0"/>
          <w:trHeight w:val="368.0004882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3.760070800781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Fasting glucose </w:t>
            </w:r>
          </w:p>
        </w:tc>
        <w:tc>
          <w:tcPr>
            <w:shd w:fill="auto" w:val="clear"/>
            <w:tcMar>
              <w:top w:w="100.0" w:type="dxa"/>
              <w:left w:w="100.0" w:type="dxa"/>
              <w:bottom w:w="100.0" w:type="dxa"/>
              <w:right w:w="100.0" w:type="dxa"/>
            </w:tcMar>
            <w:vAlign w:val="top"/>
          </w:tcPr>
          <w:p w:rsidR="00000000" w:rsidDel="00000000" w:rsidP="00000000" w:rsidRDefault="00000000" w:rsidRPr="00000000" w14:paraId="000002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9598999023437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Diabetes: relative risk 1.7 </w:t>
            </w:r>
          </w:p>
        </w:tc>
        <w:tc>
          <w:tcPr>
            <w:shd w:fill="auto" w:val="clear"/>
            <w:tcMar>
              <w:top w:w="100.0" w:type="dxa"/>
              <w:left w:w="100.0" w:type="dxa"/>
              <w:bottom w:w="100.0" w:type="dxa"/>
              <w:right w:w="100.0" w:type="dxa"/>
            </w:tcMar>
            <w:vAlign w:val="top"/>
          </w:tcPr>
          <w:p w:rsidR="00000000" w:rsidDel="00000000" w:rsidP="00000000" w:rsidRDefault="00000000" w:rsidRPr="00000000" w14:paraId="000002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3.7597656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Prediabetes 100-125 mg/dL; diabetes 126+</w:t>
            </w:r>
          </w:p>
        </w:tc>
      </w:tr>
      <w:tr>
        <w:trPr>
          <w:cantSplit w:val="0"/>
          <w:trHeight w:val="575.99975585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31994628906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HbA1c </w:t>
            </w:r>
          </w:p>
        </w:tc>
        <w:tc>
          <w:tcPr>
            <w:shd w:fill="auto" w:val="clear"/>
            <w:tcMar>
              <w:top w:w="100.0" w:type="dxa"/>
              <w:left w:w="100.0" w:type="dxa"/>
              <w:bottom w:w="100.0" w:type="dxa"/>
              <w:right w:w="100.0" w:type="dxa"/>
            </w:tcMar>
            <w:vAlign w:val="top"/>
          </w:tcPr>
          <w:p w:rsidR="00000000" w:rsidDel="00000000" w:rsidP="00000000" w:rsidRDefault="00000000" w:rsidRPr="00000000" w14:paraId="000002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23999023437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Average blood sugar over 3 months </w:t>
            </w:r>
          </w:p>
        </w:tc>
        <w:tc>
          <w:tcPr>
            <w:shd w:fill="auto" w:val="clear"/>
            <w:tcMar>
              <w:top w:w="100.0" w:type="dxa"/>
              <w:left w:w="100.0" w:type="dxa"/>
              <w:bottom w:w="100.0" w:type="dxa"/>
              <w:right w:w="100.0" w:type="dxa"/>
            </w:tcMar>
            <w:vAlign w:val="top"/>
          </w:tcPr>
          <w:p w:rsidR="00000000" w:rsidDel="00000000" w:rsidP="00000000" w:rsidRDefault="00000000" w:rsidRPr="00000000" w14:paraId="000002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23185920715332" w:lineRule="auto"/>
              <w:ind w:left="115.7598876953125" w:right="253.521728515625" w:firstLine="7.9998779296875"/>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Prediabetes 5.7-6.4%; diabetes 6.5%+; screen from age 35</w:t>
            </w:r>
          </w:p>
        </w:tc>
      </w:tr>
      <w:tr>
        <w:trPr>
          <w:cantSplit w:val="0"/>
          <w:trHeight w:val="575.99975585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3.760070800781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Fasting insulin / </w:t>
            </w:r>
          </w:p>
          <w:p w:rsidR="00000000" w:rsidDel="00000000" w:rsidP="00000000" w:rsidRDefault="00000000" w:rsidRPr="00000000" w14:paraId="000002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9400634765625" w:line="240" w:lineRule="auto"/>
              <w:ind w:left="122.31994628906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HOMA-IR</w:t>
            </w:r>
          </w:p>
        </w:tc>
        <w:tc>
          <w:tcPr>
            <w:shd w:fill="auto" w:val="clear"/>
            <w:tcMar>
              <w:top w:w="100.0" w:type="dxa"/>
              <w:left w:w="100.0" w:type="dxa"/>
              <w:bottom w:w="100.0" w:type="dxa"/>
              <w:right w:w="100.0" w:type="dxa"/>
            </w:tcMar>
            <w:vAlign w:val="top"/>
          </w:tcPr>
          <w:p w:rsidR="00000000" w:rsidDel="00000000" w:rsidP="00000000" w:rsidRDefault="00000000" w:rsidRPr="00000000" w14:paraId="000002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160034179687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Looks for insulin resistance </w:t>
            </w:r>
          </w:p>
        </w:tc>
        <w:tc>
          <w:tcPr>
            <w:shd w:fill="auto" w:val="clear"/>
            <w:tcMar>
              <w:top w:w="100.0" w:type="dxa"/>
              <w:left w:w="100.0" w:type="dxa"/>
              <w:bottom w:w="100.0" w:type="dxa"/>
              <w:right w:w="100.0" w:type="dxa"/>
            </w:tcMar>
            <w:vAlign w:val="top"/>
          </w:tcPr>
          <w:p w:rsidR="00000000" w:rsidDel="00000000" w:rsidP="00000000" w:rsidRDefault="00000000" w:rsidRPr="00000000" w14:paraId="000002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160034179687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Not a guideline screen; no validated cutoff</w:t>
            </w:r>
          </w:p>
        </w:tc>
      </w:tr>
      <w:tr>
        <w:trPr>
          <w:cantSplit w:val="0"/>
          <w:trHeight w:val="575.99975585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160034179687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Lipid panel </w:t>
            </w:r>
          </w:p>
        </w:tc>
        <w:tc>
          <w:tcPr>
            <w:shd w:fill="auto" w:val="clear"/>
            <w:tcMar>
              <w:top w:w="100.0" w:type="dxa"/>
              <w:left w:w="100.0" w:type="dxa"/>
              <w:bottom w:w="100.0" w:type="dxa"/>
              <w:right w:w="100.0" w:type="dxa"/>
            </w:tcMar>
            <w:vAlign w:val="top"/>
          </w:tcPr>
          <w:p w:rsidR="00000000" w:rsidDel="00000000" w:rsidP="00000000" w:rsidRDefault="00000000" w:rsidRPr="00000000" w14:paraId="000002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31994628906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High LDL: relative risk 1.3 </w:t>
            </w:r>
          </w:p>
        </w:tc>
        <w:tc>
          <w:tcPr>
            <w:shd w:fill="auto" w:val="clear"/>
            <w:tcMar>
              <w:top w:w="100.0" w:type="dxa"/>
              <w:left w:w="100.0" w:type="dxa"/>
              <w:bottom w:w="100.0" w:type="dxa"/>
              <w:right w:w="100.0" w:type="dxa"/>
            </w:tcMar>
            <w:vAlign w:val="top"/>
          </w:tcPr>
          <w:p w:rsidR="00000000" w:rsidDel="00000000" w:rsidP="00000000" w:rsidRDefault="00000000" w:rsidRPr="00000000" w14:paraId="000002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23185920715332" w:lineRule="auto"/>
              <w:ind w:left="122.1600341796875" w:right="235.44189453125"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LDL 160+ risk-enhancing, 190+ severe; ApoB 130+, Lp(a) 50+ selective</w:t>
            </w:r>
          </w:p>
        </w:tc>
      </w:tr>
      <w:tr>
        <w:trPr>
          <w:cantSplit w:val="0"/>
          <w:trHeight w:val="575.99975585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23999023437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Thyroid TSH </w:t>
            </w:r>
          </w:p>
        </w:tc>
        <w:tc>
          <w:tcPr>
            <w:shd w:fill="auto" w:val="clear"/>
            <w:tcMar>
              <w:top w:w="100.0" w:type="dxa"/>
              <w:left w:w="100.0" w:type="dxa"/>
              <w:bottom w:w="100.0" w:type="dxa"/>
              <w:right w:w="100.0" w:type="dxa"/>
            </w:tcMar>
            <w:vAlign w:val="top"/>
          </w:tcPr>
          <w:p w:rsidR="00000000" w:rsidDel="00000000" w:rsidP="00000000" w:rsidRDefault="00000000" w:rsidRPr="00000000" w14:paraId="000002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7.040100097656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Can mimic cognitive symptoms </w:t>
            </w:r>
          </w:p>
        </w:tc>
        <w:tc>
          <w:tcPr>
            <w:shd w:fill="auto" w:val="clear"/>
            <w:tcMar>
              <w:top w:w="100.0" w:type="dxa"/>
              <w:left w:w="100.0" w:type="dxa"/>
              <w:bottom w:w="100.0" w:type="dxa"/>
              <w:right w:w="100.0" w:type="dxa"/>
            </w:tcMar>
            <w:vAlign w:val="top"/>
          </w:tcPr>
          <w:p w:rsidR="00000000" w:rsidDel="00000000" w:rsidP="00000000" w:rsidRDefault="00000000" w:rsidRPr="00000000" w14:paraId="000002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23185920715332" w:lineRule="auto"/>
              <w:ind w:left="119.27978515625" w:right="498.321533203125" w:hanging="3.2000732421875"/>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0.4-4.5 mIU/L; USPSTF I statement on cognitive benefit</w:t>
            </w:r>
          </w:p>
        </w:tc>
      </w:tr>
      <w:tr>
        <w:trPr>
          <w:cantSplit w:val="0"/>
          <w:trHeight w:val="576.000976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3.200073242187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Vitamin B12 </w:t>
            </w:r>
          </w:p>
        </w:tc>
        <w:tc>
          <w:tcPr>
            <w:shd w:fill="auto" w:val="clear"/>
            <w:tcMar>
              <w:top w:w="100.0" w:type="dxa"/>
              <w:left w:w="100.0" w:type="dxa"/>
              <w:bottom w:w="100.0" w:type="dxa"/>
              <w:right w:w="100.0" w:type="dxa"/>
            </w:tcMar>
            <w:vAlign w:val="top"/>
          </w:tcPr>
          <w:p w:rsidR="00000000" w:rsidDel="00000000" w:rsidP="00000000" w:rsidRDefault="00000000" w:rsidRPr="00000000" w14:paraId="000002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23999023437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A reversible cause of cognitive symptoms </w:t>
            </w:r>
          </w:p>
        </w:tc>
        <w:tc>
          <w:tcPr>
            <w:shd w:fill="auto" w:val="clear"/>
            <w:tcMar>
              <w:top w:w="100.0" w:type="dxa"/>
              <w:left w:w="100.0" w:type="dxa"/>
              <w:bottom w:w="100.0" w:type="dxa"/>
              <w:right w:w="100.0" w:type="dxa"/>
            </w:tcMar>
            <w:vAlign w:val="top"/>
          </w:tcPr>
          <w:p w:rsidR="00000000" w:rsidDel="00000000" w:rsidP="00000000" w:rsidRDefault="00000000" w:rsidRPr="00000000" w14:paraId="000002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160156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200 pg/mL subnormal; if 150-399, check </w:t>
            </w:r>
          </w:p>
          <w:p w:rsidR="00000000" w:rsidDel="00000000" w:rsidP="00000000" w:rsidRDefault="00000000" w:rsidRPr="00000000" w14:paraId="000002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9400634765625" w:line="240" w:lineRule="auto"/>
              <w:ind w:left="120.399780273437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methylmalonic acid</w:t>
            </w:r>
          </w:p>
        </w:tc>
      </w:tr>
      <w:tr>
        <w:trPr>
          <w:cantSplit w:val="0"/>
          <w:trHeight w:val="575.99975585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3.760070800781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Folate </w:t>
            </w:r>
          </w:p>
        </w:tc>
        <w:tc>
          <w:tcPr>
            <w:shd w:fill="auto" w:val="clear"/>
            <w:tcMar>
              <w:top w:w="100.0" w:type="dxa"/>
              <w:left w:w="100.0" w:type="dxa"/>
              <w:bottom w:w="100.0" w:type="dxa"/>
              <w:right w:w="100.0" w:type="dxa"/>
            </w:tcMar>
            <w:vAlign w:val="top"/>
          </w:tcPr>
          <w:p w:rsidR="00000000" w:rsidDel="00000000" w:rsidP="00000000" w:rsidRDefault="00000000" w:rsidRPr="00000000" w14:paraId="000002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23185920715332" w:lineRule="auto"/>
              <w:ind w:left="115.5999755859375" w:right="653.199462890625" w:firstLine="1.44012451171875"/>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Can mask B12 anemia, not neurological damage</w:t>
            </w:r>
          </w:p>
        </w:tc>
        <w:tc>
          <w:tcPr>
            <w:shd w:fill="auto" w:val="clear"/>
            <w:tcMar>
              <w:top w:w="100.0" w:type="dxa"/>
              <w:left w:w="100.0" w:type="dxa"/>
              <w:bottom w:w="100.0" w:type="dxa"/>
              <w:right w:w="100.0" w:type="dxa"/>
            </w:tcMar>
            <w:vAlign w:val="top"/>
          </w:tcPr>
          <w:p w:rsidR="00000000" w:rsidDel="00000000" w:rsidP="00000000" w:rsidRDefault="00000000" w:rsidRPr="00000000" w14:paraId="000002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7.83996582031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Serum 3+ ng/mL; RBC 140+ ng/mL</w:t>
            </w:r>
          </w:p>
        </w:tc>
      </w:tr>
      <w:tr>
        <w:trPr>
          <w:cantSplit w:val="0"/>
          <w:trHeight w:val="367.99987792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3.200073242187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Vitamin D 25-OH </w:t>
            </w:r>
          </w:p>
        </w:tc>
        <w:tc>
          <w:tcPr>
            <w:shd w:fill="auto" w:val="clear"/>
            <w:tcMar>
              <w:top w:w="100.0" w:type="dxa"/>
              <w:left w:w="100.0" w:type="dxa"/>
              <w:bottom w:w="100.0" w:type="dxa"/>
              <w:right w:w="100.0" w:type="dxa"/>
            </w:tcMar>
            <w:vAlign w:val="top"/>
          </w:tcPr>
          <w:p w:rsidR="00000000" w:rsidDel="00000000" w:rsidP="00000000" w:rsidRDefault="00000000" w:rsidRPr="00000000" w14:paraId="000002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560119628906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Widely tested, weakly justified </w:t>
            </w:r>
          </w:p>
        </w:tc>
        <w:tc>
          <w:tcPr>
            <w:shd w:fill="auto" w:val="clear"/>
            <w:tcMar>
              <w:top w:w="100.0" w:type="dxa"/>
              <w:left w:w="100.0" w:type="dxa"/>
              <w:bottom w:w="100.0" w:type="dxa"/>
              <w:right w:w="100.0" w:type="dxa"/>
            </w:tcMar>
            <w:vAlign w:val="top"/>
          </w:tcPr>
          <w:p w:rsidR="00000000" w:rsidDel="00000000" w:rsidP="00000000" w:rsidRDefault="00000000" w:rsidRPr="00000000" w14:paraId="000002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63977050781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USPSTF I statement; 20 ng/mL adequate</w:t>
            </w:r>
          </w:p>
        </w:tc>
      </w:tr>
      <w:tr>
        <w:trPr>
          <w:cantSplit w:val="0"/>
          <w:trHeight w:val="576.00036621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4.559936523437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Iron studies / CBC </w:t>
            </w:r>
          </w:p>
        </w:tc>
        <w:tc>
          <w:tcPr>
            <w:shd w:fill="auto" w:val="clear"/>
            <w:tcMar>
              <w:top w:w="100.0" w:type="dxa"/>
              <w:left w:w="100.0" w:type="dxa"/>
              <w:bottom w:w="100.0" w:type="dxa"/>
              <w:right w:w="100.0" w:type="dxa"/>
            </w:tcMar>
            <w:vAlign w:val="top"/>
          </w:tcPr>
          <w:p w:rsidR="00000000" w:rsidDel="00000000" w:rsidP="00000000" w:rsidRDefault="00000000" w:rsidRPr="00000000" w14:paraId="000002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31994628906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How B12/folate anemia shows up </w:t>
            </w:r>
          </w:p>
        </w:tc>
        <w:tc>
          <w:tcPr>
            <w:shd w:fill="auto" w:val="clear"/>
            <w:tcMar>
              <w:top w:w="100.0" w:type="dxa"/>
              <w:left w:w="100.0" w:type="dxa"/>
              <w:bottom w:w="100.0" w:type="dxa"/>
              <w:right w:w="100.0" w:type="dxa"/>
            </w:tcMar>
            <w:vAlign w:val="top"/>
          </w:tcPr>
          <w:p w:rsidR="00000000" w:rsidDel="00000000" w:rsidP="00000000" w:rsidRDefault="00000000" w:rsidRPr="00000000" w14:paraId="000002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23185920715332" w:lineRule="auto"/>
              <w:ind w:left="115.7598876953125" w:right="631.761474609375" w:firstLine="6.400146484375"/>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No confirmed brain targets; order for fatigue or anemia</w:t>
            </w:r>
          </w:p>
        </w:tc>
      </w:tr>
      <w:tr>
        <w:trPr>
          <w:cantSplit w:val="0"/>
          <w:trHeight w:val="575.99975585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Liver and kidney function </w:t>
            </w:r>
          </w:p>
        </w:tc>
        <w:tc>
          <w:tcPr>
            <w:shd w:fill="auto" w:val="clear"/>
            <w:tcMar>
              <w:top w:w="100.0" w:type="dxa"/>
              <w:left w:w="100.0" w:type="dxa"/>
              <w:bottom w:w="100.0" w:type="dxa"/>
              <w:right w:w="100.0" w:type="dxa"/>
            </w:tcMar>
            <w:vAlign w:val="top"/>
          </w:tcPr>
          <w:p w:rsidR="00000000" w:rsidDel="00000000" w:rsidP="00000000" w:rsidRDefault="00000000" w:rsidRPr="00000000" w14:paraId="000002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23185920715332" w:lineRule="auto"/>
              <w:ind w:left="115.11993408203125" w:right="528.87939453125" w:firstLine="7.04010009765625"/>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Kidney measures feed cardiovascular risk scoring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2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23185920715332" w:lineRule="auto"/>
              <w:ind w:left="120.3997802734375" w:right="173.841552734375" w:hanging="3.3599853515625"/>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CKD: eGFR under 60 or albumin-creatinine 30+ for 3 months</w:t>
            </w:r>
          </w:p>
        </w:tc>
      </w:tr>
      <w:tr>
        <w:trPr>
          <w:cantSplit w:val="0"/>
          <w:trHeight w:val="575.99975585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7.83996582031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Sleep apnea evaluation </w:t>
            </w:r>
          </w:p>
        </w:tc>
        <w:tc>
          <w:tcPr>
            <w:shd w:fill="auto" w:val="clear"/>
            <w:tcMar>
              <w:top w:w="100.0" w:type="dxa"/>
              <w:left w:w="100.0" w:type="dxa"/>
              <w:bottom w:w="100.0" w:type="dxa"/>
              <w:right w:w="100.0" w:type="dxa"/>
            </w:tcMar>
            <w:vAlign w:val="top"/>
          </w:tcPr>
          <w:p w:rsidR="00000000" w:rsidDel="00000000" w:rsidP="00000000" w:rsidRDefault="00000000" w:rsidRPr="00000000" w14:paraId="000002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2322883605957" w:lineRule="auto"/>
              <w:ind w:left="120.71990966796875" w:right="421.6796875" w:firstLine="1.44012451171875"/>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Linked to heart disease, diabetes, cognitive impairment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2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2322883605957" w:lineRule="auto"/>
              <w:ind w:left="115.1202392578125" w:right="489.681396484375" w:firstLine="7.51953125"/>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USPSTF I statement if symptom-free; evaluate if snoring/witnessed pauses</w:t>
            </w:r>
          </w:p>
        </w:tc>
      </w:tr>
      <w:tr>
        <w:trPr>
          <w:cantSplit w:val="0"/>
          <w:trHeight w:val="367.99987792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31994628906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Hearing </w:t>
            </w:r>
          </w:p>
        </w:tc>
        <w:tc>
          <w:tcPr>
            <w:shd w:fill="auto" w:val="clear"/>
            <w:tcMar>
              <w:top w:w="100.0" w:type="dxa"/>
              <w:left w:w="100.0" w:type="dxa"/>
              <w:bottom w:w="100.0" w:type="dxa"/>
              <w:right w:w="100.0" w:type="dxa"/>
            </w:tcMar>
            <w:vAlign w:val="top"/>
          </w:tcPr>
          <w:p w:rsidR="00000000" w:rsidDel="00000000" w:rsidP="00000000" w:rsidRDefault="00000000" w:rsidRPr="00000000" w14:paraId="000002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160034179687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Largest single midlife factor: relative risk 1.4 </w:t>
            </w:r>
          </w:p>
        </w:tc>
        <w:tc>
          <w:tcPr>
            <w:shd w:fill="auto" w:val="clear"/>
            <w:tcMar>
              <w:top w:w="100.0" w:type="dxa"/>
              <w:left w:w="100.0" w:type="dxa"/>
              <w:bottom w:w="100.0" w:type="dxa"/>
              <w:right w:w="100.0" w:type="dxa"/>
            </w:tcMar>
            <w:vAlign w:val="top"/>
          </w:tcPr>
          <w:p w:rsidR="00000000" w:rsidDel="00000000" w:rsidP="00000000" w:rsidRDefault="00000000" w:rsidRPr="00000000" w14:paraId="000002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63977050781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USPSTF I statement; screen every 3 years after 50</w:t>
            </w:r>
          </w:p>
        </w:tc>
      </w:tr>
      <w:tr>
        <w:trPr>
          <w:cantSplit w:val="0"/>
          <w:trHeight w:val="368.0001831054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3.200073242187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Vision </w:t>
            </w:r>
          </w:p>
        </w:tc>
        <w:tc>
          <w:tcPr>
            <w:shd w:fill="auto" w:val="clear"/>
            <w:tcMar>
              <w:top w:w="100.0" w:type="dxa"/>
              <w:left w:w="100.0" w:type="dxa"/>
              <w:bottom w:w="100.0" w:type="dxa"/>
              <w:right w:w="100.0" w:type="dxa"/>
            </w:tcMar>
            <w:vAlign w:val="top"/>
          </w:tcPr>
          <w:p w:rsidR="00000000" w:rsidDel="00000000" w:rsidP="00000000" w:rsidRDefault="00000000" w:rsidRPr="00000000" w14:paraId="000002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6400756835937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Untreated vision loss: relative risk 1.5 </w:t>
            </w:r>
          </w:p>
        </w:tc>
        <w:tc>
          <w:tcPr>
            <w:shd w:fill="auto" w:val="clear"/>
            <w:tcMar>
              <w:top w:w="100.0" w:type="dxa"/>
              <w:left w:w="100.0" w:type="dxa"/>
              <w:bottom w:w="100.0" w:type="dxa"/>
              <w:right w:w="100.0" w:type="dxa"/>
            </w:tcMar>
            <w:vAlign w:val="top"/>
          </w:tcPr>
          <w:p w:rsidR="00000000" w:rsidDel="00000000" w:rsidP="00000000" w:rsidRDefault="00000000" w:rsidRPr="00000000" w14:paraId="000002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63977050781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USPSTF I statement for acuity screening at 65</w:t>
            </w:r>
          </w:p>
        </w:tc>
      </w:tr>
      <w:tr>
        <w:trPr>
          <w:cantSplit w:val="0"/>
          <w:trHeight w:val="576.0000610351562"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96005249023438"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Depression screening </w:t>
            </w:r>
          </w:p>
        </w:tc>
        <w:tc>
          <w:tcPr>
            <w:shd w:fill="auto" w:val="clear"/>
            <w:tcMar>
              <w:top w:w="100.0" w:type="dxa"/>
              <w:left w:w="100.0" w:type="dxa"/>
              <w:bottom w:w="100.0" w:type="dxa"/>
              <w:right w:w="100.0" w:type="dxa"/>
            </w:tcMar>
            <w:vAlign w:val="top"/>
          </w:tcPr>
          <w:p w:rsidR="00000000" w:rsidDel="00000000" w:rsidP="00000000" w:rsidRDefault="00000000" w:rsidRPr="00000000" w14:paraId="000002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4.079895019531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Relative risk 2.2, and a common mimic </w:t>
            </w:r>
          </w:p>
        </w:tc>
        <w:tc>
          <w:tcPr>
            <w:shd w:fill="auto" w:val="clear"/>
            <w:tcMar>
              <w:top w:w="100.0" w:type="dxa"/>
              <w:left w:w="100.0" w:type="dxa"/>
              <w:bottom w:w="100.0" w:type="dxa"/>
              <w:right w:w="100.0" w:type="dxa"/>
            </w:tcMar>
            <w:vAlign w:val="top"/>
          </w:tcPr>
          <w:p w:rsidR="00000000" w:rsidDel="00000000" w:rsidP="00000000" w:rsidRDefault="00000000" w:rsidRPr="00000000" w14:paraId="000002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63977050781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USPSTF Grade B for all adults; PHQ-9 </w:t>
            </w:r>
          </w:p>
          <w:p w:rsidR="00000000" w:rsidDel="00000000" w:rsidP="00000000" w:rsidRDefault="00000000" w:rsidRPr="00000000" w14:paraId="000002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9400634765625" w:line="240" w:lineRule="auto"/>
              <w:ind w:left="115.12023925781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sensitivity/specificity 0.85</w:t>
            </w:r>
          </w:p>
        </w:tc>
      </w:tr>
      <w:tr>
        <w:trPr>
          <w:cantSplit w:val="0"/>
          <w:trHeight w:val="367.99987792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679992675781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Medication review </w:t>
            </w:r>
          </w:p>
        </w:tc>
        <w:tc>
          <w:tcPr>
            <w:shd w:fill="auto" w:val="clear"/>
            <w:tcMar>
              <w:top w:w="100.0" w:type="dxa"/>
              <w:left w:w="100.0" w:type="dxa"/>
              <w:bottom w:w="100.0" w:type="dxa"/>
              <w:right w:w="100.0" w:type="dxa"/>
            </w:tcMar>
            <w:vAlign w:val="top"/>
          </w:tcPr>
          <w:p w:rsidR="00000000" w:rsidDel="00000000" w:rsidP="00000000" w:rsidRDefault="00000000" w:rsidRPr="00000000" w14:paraId="000002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23999023437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Anticholinergic exposure is linked to dementia </w:t>
            </w:r>
          </w:p>
        </w:tc>
        <w:tc>
          <w:tcPr>
            <w:shd w:fill="auto" w:val="clear"/>
            <w:tcMar>
              <w:top w:w="100.0" w:type="dxa"/>
              <w:left w:w="100.0" w:type="dxa"/>
              <w:bottom w:w="100.0" w:type="dxa"/>
              <w:right w:w="100.0" w:type="dxa"/>
            </w:tcMar>
            <w:vAlign w:val="top"/>
          </w:tcPr>
          <w:p w:rsidR="00000000" w:rsidDel="00000000" w:rsidP="00000000" w:rsidRDefault="00000000" w:rsidRPr="00000000" w14:paraId="000002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23999023437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Yearly review against Beers Criteria</w:t>
            </w:r>
          </w:p>
        </w:tc>
      </w:tr>
      <w:tr>
        <w:trPr>
          <w:cantSplit w:val="0"/>
          <w:trHeight w:val="576.0000610351562"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7.03994750976562"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Cardiovascular risk </w:t>
            </w:r>
          </w:p>
          <w:p w:rsidR="00000000" w:rsidDel="00000000" w:rsidP="00000000" w:rsidRDefault="00000000" w:rsidRPr="00000000" w14:paraId="000002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9400634765625" w:line="240" w:lineRule="auto"/>
              <w:ind w:left="116.39999389648438"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calculation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2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23999023437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Ties every number above into one estimate </w:t>
            </w:r>
          </w:p>
        </w:tc>
        <w:tc>
          <w:tcPr>
            <w:shd w:fill="auto" w:val="clear"/>
            <w:tcMar>
              <w:top w:w="100.0" w:type="dxa"/>
              <w:left w:w="100.0" w:type="dxa"/>
              <w:bottom w:w="100.0" w:type="dxa"/>
              <w:right w:w="100.0" w:type="dxa"/>
            </w:tcMar>
            <w:vAlign w:val="top"/>
          </w:tcPr>
          <w:p w:rsidR="00000000" w:rsidDel="00000000" w:rsidP="00000000" w:rsidRDefault="00000000" w:rsidRPr="00000000" w14:paraId="000002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23220252990723" w:lineRule="auto"/>
              <w:ind w:left="115.9197998046875" w:right="507.44140625" w:hanging="3.6798095703125"/>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AHA PREVENT covers ages 30-79; 10-year risk 7.5%+ lowers treatment threshold</w:t>
            </w:r>
          </w:p>
        </w:tc>
      </w:tr>
    </w:tbl>
    <w:p w:rsidR="00000000" w:rsidDel="00000000" w:rsidP="00000000" w:rsidRDefault="00000000" w:rsidRPr="00000000" w14:paraId="000002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1.6400146484375" w:right="0" w:firstLine="0"/>
        <w:jc w:val="left"/>
        <w:rPr>
          <w:rFonts w:ascii="Arial" w:cs="Arial" w:eastAsia="Arial" w:hAnsi="Arial"/>
          <w:b w:val="1"/>
          <w:bCs w:val="1"/>
          <w:i w:val="0"/>
          <w:iCs w:val="0"/>
          <w:smallCaps w:val="0"/>
          <w:strike w:val="0"/>
          <w:color w:val="0f6b5c"/>
          <w:sz w:val="26"/>
          <w:szCs w:val="26"/>
          <w:u w:val="none"/>
          <w:shd w:fill="auto" w:val="clear"/>
          <w:vertAlign w:val="baseline"/>
        </w:rPr>
      </w:pPr>
      <w:r w:rsidDel="00000000" w:rsidR="00000000" w:rsidRPr="00000000">
        <w:rPr>
          <w:rFonts w:ascii="Arial" w:cs="Arial" w:eastAsia="Arial" w:hAnsi="Arial"/>
          <w:b w:val="1"/>
          <w:bCs w:val="1"/>
          <w:i w:val="0"/>
          <w:iCs w:val="0"/>
          <w:smallCaps w:val="0"/>
          <w:strike w:val="0"/>
          <w:color w:val="0f6b5c"/>
          <w:sz w:val="26"/>
          <w:szCs w:val="26"/>
          <w:u w:val="none"/>
          <w:shd w:fill="auto" w:val="clear"/>
          <w:vertAlign w:val="baseline"/>
          <w:rtl w:val="0"/>
        </w:rPr>
        <w:t xml:space="preserve">Table B: Optional, Specialized, or Experimental Testing </w:t>
      </w:r>
    </w:p>
    <w:p w:rsidR="00000000" w:rsidDel="00000000" w:rsidP="00000000" w:rsidRDefault="00000000" w:rsidRPr="00000000" w14:paraId="000002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6.57958984375" w:line="289.88402366638184" w:lineRule="auto"/>
        <w:ind w:left="69.60006713867188" w:right="963.4014892578125" w:hanging="3.800048828125"/>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Only three items below are solidly validated — plasma p-tau217, amyloid or tau PET, and spinal-fluid biomarkers — and only in people who already have symptoms. </w:t>
      </w:r>
    </w:p>
    <w:tbl>
      <w:tblPr>
        <w:tblStyle w:val="Table25"/>
        <w:tblW w:w="9648.000183105469" w:type="dxa"/>
        <w:jc w:val="left"/>
        <w:tblInd w:w="144.00009155273438"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312.0001220703125"/>
        <w:gridCol w:w="6336.000061035156"/>
        <w:tblGridChange w:id="0">
          <w:tblGrid>
            <w:gridCol w:w="3312.0001220703125"/>
            <w:gridCol w:w="6336.000061035156"/>
          </w:tblGrid>
        </w:tblGridChange>
      </w:tblGrid>
      <w:tr>
        <w:trPr>
          <w:cantSplit w:val="0"/>
          <w:trHeight w:val="368.0004882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32406616210938" w:right="0" w:firstLine="0"/>
              <w:jc w:val="left"/>
              <w:rPr>
                <w:rFonts w:ascii="Arial" w:cs="Arial" w:eastAsia="Arial" w:hAnsi="Arial"/>
                <w:b w:val="1"/>
                <w:bCs w:val="1"/>
                <w:i w:val="0"/>
                <w:iCs w:val="0"/>
                <w:smallCaps w:val="0"/>
                <w:strike w:val="0"/>
                <w:sz w:val="16.600000381469727"/>
                <w:szCs w:val="16.600000381469727"/>
                <w:u w:val="none"/>
                <w:shd w:fill="auto" w:val="clear"/>
                <w:vertAlign w:val="baseline"/>
              </w:rPr>
            </w:pPr>
            <w:r w:rsidDel="00000000" w:rsidR="00000000" w:rsidRPr="00000000">
              <w:rPr>
                <w:rFonts w:ascii="Arial" w:cs="Arial" w:eastAsia="Arial" w:hAnsi="Arial"/>
                <w:b w:val="1"/>
                <w:bCs w:val="1"/>
                <w:i w:val="0"/>
                <w:iCs w:val="0"/>
                <w:smallCaps w:val="0"/>
                <w:strike w:val="0"/>
                <w:sz w:val="16.600000381469727"/>
                <w:szCs w:val="16.600000381469727"/>
                <w:u w:val="none"/>
                <w:shd w:fill="auto" w:val="clear"/>
                <w:vertAlign w:val="baseline"/>
                <w:rtl w:val="0"/>
              </w:rPr>
              <w:t xml:space="preserve">Test </w:t>
            </w:r>
          </w:p>
        </w:tc>
        <w:tc>
          <w:tcPr>
            <w:shd w:fill="auto" w:val="clear"/>
            <w:tcMar>
              <w:top w:w="100.0" w:type="dxa"/>
              <w:left w:w="100.0" w:type="dxa"/>
              <w:bottom w:w="100.0" w:type="dxa"/>
              <w:right w:w="100.0" w:type="dxa"/>
            </w:tcMar>
            <w:vAlign w:val="top"/>
          </w:tcPr>
          <w:p w:rsidR="00000000" w:rsidDel="00000000" w:rsidP="00000000" w:rsidRDefault="00000000" w:rsidRPr="00000000" w14:paraId="000002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3.15399169921875" w:right="0" w:firstLine="0"/>
              <w:jc w:val="left"/>
              <w:rPr>
                <w:rFonts w:ascii="Arial" w:cs="Arial" w:eastAsia="Arial" w:hAnsi="Arial"/>
                <w:b w:val="1"/>
                <w:bCs w:val="1"/>
                <w:i w:val="0"/>
                <w:iCs w:val="0"/>
                <w:smallCaps w:val="0"/>
                <w:strike w:val="0"/>
                <w:sz w:val="16.600000381469727"/>
                <w:szCs w:val="16.600000381469727"/>
                <w:u w:val="none"/>
                <w:shd w:fill="auto" w:val="clear"/>
                <w:vertAlign w:val="baseline"/>
              </w:rPr>
            </w:pPr>
            <w:r w:rsidDel="00000000" w:rsidR="00000000" w:rsidRPr="00000000">
              <w:rPr>
                <w:rFonts w:ascii="Arial" w:cs="Arial" w:eastAsia="Arial" w:hAnsi="Arial"/>
                <w:b w:val="1"/>
                <w:bCs w:val="1"/>
                <w:i w:val="0"/>
                <w:iCs w:val="0"/>
                <w:smallCaps w:val="0"/>
                <w:strike w:val="0"/>
                <w:sz w:val="16.600000381469727"/>
                <w:szCs w:val="16.600000381469727"/>
                <w:u w:val="none"/>
                <w:shd w:fill="auto" w:val="clear"/>
                <w:vertAlign w:val="baseline"/>
                <w:rtl w:val="0"/>
              </w:rPr>
              <w:t xml:space="preserve">Validated or speculative?</w:t>
            </w:r>
          </w:p>
        </w:tc>
      </w:tr>
      <w:tr>
        <w:trPr>
          <w:cantSplit w:val="0"/>
          <w:trHeight w:val="575.9985351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231201171875" w:lineRule="auto"/>
              <w:ind w:left="120.39993286132812" w:right="561.2005615234375" w:hanging="3.3599853515625"/>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CGM (continuous glucose monitor) in non-diabetics</w:t>
            </w:r>
          </w:p>
        </w:tc>
        <w:tc>
          <w:tcPr>
            <w:shd w:fill="auto" w:val="clear"/>
            <w:tcMar>
              <w:top w:w="100.0" w:type="dxa"/>
              <w:left w:w="100.0" w:type="dxa"/>
              <w:bottom w:w="100.0" w:type="dxa"/>
              <w:right w:w="100.0" w:type="dxa"/>
            </w:tcMar>
            <w:vAlign w:val="top"/>
          </w:tcPr>
          <w:p w:rsidR="00000000" w:rsidDel="00000000" w:rsidP="00000000" w:rsidRDefault="00000000" w:rsidRPr="00000000" w14:paraId="000002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231201171875" w:lineRule="auto"/>
              <w:ind w:left="120.40008544921875" w:right="419.281005859375" w:hanging="2.56011962890625"/>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Speculative. Shows promise for personalizing lifestyle interventions, but impact on hard endpoints remains limited; no dementia evidence</w:t>
            </w:r>
          </w:p>
        </w:tc>
      </w:tr>
      <w:tr>
        <w:trPr>
          <w:cantSplit w:val="0"/>
          <w:trHeight w:val="576.000976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23999023437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Advanced lipid / particle panels </w:t>
            </w:r>
          </w:p>
        </w:tc>
        <w:tc>
          <w:tcPr>
            <w:shd w:fill="auto" w:val="clear"/>
            <w:tcMar>
              <w:top w:w="100.0" w:type="dxa"/>
              <w:left w:w="100.0" w:type="dxa"/>
              <w:bottom w:w="100.0" w:type="dxa"/>
              <w:right w:w="100.0" w:type="dxa"/>
            </w:tcMar>
            <w:vAlign w:val="top"/>
          </w:tcPr>
          <w:p w:rsidR="00000000" w:rsidDel="00000000" w:rsidP="00000000" w:rsidRDefault="00000000" w:rsidRPr="00000000" w14:paraId="000002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231201171875" w:lineRule="auto"/>
              <w:ind w:left="119.28009033203125" w:right="588.0810546875" w:hanging="3.0401611328125"/>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Only ApoB and Lp(a) have guideline standing as selective risk enhancers; NMR particle panels lack endorsement</w:t>
            </w:r>
          </w:p>
        </w:tc>
      </w:tr>
      <w:tr>
        <w:trPr>
          <w:cantSplit w:val="0"/>
          <w:trHeight w:val="575.99975585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84005737304688"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Broad micronutrient panels </w:t>
            </w:r>
          </w:p>
        </w:tc>
        <w:tc>
          <w:tcPr>
            <w:shd w:fill="auto" w:val="clear"/>
            <w:tcMar>
              <w:top w:w="100.0" w:type="dxa"/>
              <w:left w:w="100.0" w:type="dxa"/>
              <w:bottom w:w="100.0" w:type="dxa"/>
              <w:right w:w="100.0" w:type="dxa"/>
            </w:tcMar>
            <w:vAlign w:val="top"/>
          </w:tcPr>
          <w:p w:rsidR="00000000" w:rsidDel="00000000" w:rsidP="00000000" w:rsidRDefault="00000000" w:rsidRPr="00000000" w14:paraId="000003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231201171875" w:lineRule="auto"/>
              <w:ind w:left="112.239990234375" w:right="338.641357421875" w:firstLine="5.5999755859375"/>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Speculative. Only B12, folate, vitamin D, and blood-count deficiencies have defined thresholds</w:t>
            </w:r>
          </w:p>
        </w:tc>
      </w:tr>
      <w:tr>
        <w:trPr>
          <w:cantSplit w:val="0"/>
          <w:trHeight w:val="575.99975585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4.559936523437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IgG food-sensitivity panels </w:t>
            </w:r>
          </w:p>
        </w:tc>
        <w:tc>
          <w:tcPr>
            <w:shd w:fill="auto" w:val="clear"/>
            <w:tcMar>
              <w:top w:w="100.0" w:type="dxa"/>
              <w:left w:w="100.0" w:type="dxa"/>
              <w:bottom w:w="100.0" w:type="dxa"/>
              <w:right w:w="100.0" w:type="dxa"/>
            </w:tcMar>
            <w:vAlign w:val="top"/>
          </w:tcPr>
          <w:p w:rsidR="00000000" w:rsidDel="00000000" w:rsidP="00000000" w:rsidRDefault="00000000" w:rsidRPr="00000000" w14:paraId="000003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231201171875" w:lineRule="auto"/>
              <w:ind w:left="122.3199462890625" w:right="268.0810546875" w:firstLine="1.75994873046875"/>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Recommended against — has never been scientifically proven to accomplish what it reports to do</w:t>
            </w:r>
          </w:p>
        </w:tc>
      </w:tr>
      <w:tr>
        <w:trPr>
          <w:cantSplit w:val="0"/>
          <w:trHeight w:val="368.0004882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6400756835937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Urine mycotoxin panels </w:t>
            </w:r>
          </w:p>
        </w:tc>
        <w:tc>
          <w:tcPr>
            <w:shd w:fill="auto" w:val="clear"/>
            <w:tcMar>
              <w:top w:w="100.0" w:type="dxa"/>
              <w:left w:w="100.0" w:type="dxa"/>
              <w:bottom w:w="100.0" w:type="dxa"/>
              <w:right w:w="100.0" w:type="dxa"/>
            </w:tcMar>
            <w:vAlign w:val="top"/>
          </w:tcPr>
          <w:p w:rsidR="00000000" w:rsidDel="00000000" w:rsidP="00000000" w:rsidRDefault="00000000" w:rsidRPr="00000000" w14:paraId="000003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7.83996582031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Speculative; no society position or validation data confirmed</w:t>
            </w:r>
          </w:p>
        </w:tc>
      </w:tr>
      <w:tr>
        <w:trPr>
          <w:cantSplit w:val="0"/>
          <w:trHeight w:val="575.99975585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3.760070800781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Provoked heavy-metal testing </w:t>
            </w:r>
          </w:p>
        </w:tc>
        <w:tc>
          <w:tcPr>
            <w:shd w:fill="auto" w:val="clear"/>
            <w:tcMar>
              <w:top w:w="100.0" w:type="dxa"/>
              <w:left w:w="100.0" w:type="dxa"/>
              <w:bottom w:w="100.0" w:type="dxa"/>
              <w:right w:w="100.0" w:type="dxa"/>
            </w:tcMar>
            <w:vAlign w:val="top"/>
          </w:tcPr>
          <w:p w:rsidR="00000000" w:rsidDel="00000000" w:rsidP="00000000" w:rsidRDefault="00000000" w:rsidRPr="00000000" w14:paraId="000003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23185920715332" w:lineRule="auto"/>
              <w:ind w:left="120.40008544921875" w:right="98.80126953125" w:firstLine="3.6798095703125"/>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Recommended against — not scientifically validated, no demonstrated benefit, may be harmful</w:t>
            </w:r>
          </w:p>
        </w:tc>
      </w:tr>
      <w:tr>
        <w:trPr>
          <w:cantSplit w:val="0"/>
          <w:trHeight w:val="367.99987792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6400756835937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Urinary organic acids </w:t>
            </w:r>
          </w:p>
        </w:tc>
        <w:tc>
          <w:tcPr>
            <w:shd w:fill="auto" w:val="clear"/>
            <w:tcMar>
              <w:top w:w="100.0" w:type="dxa"/>
              <w:left w:w="100.0" w:type="dxa"/>
              <w:bottom w:w="100.0" w:type="dxa"/>
              <w:right w:w="100.0" w:type="dxa"/>
            </w:tcMar>
            <w:vAlign w:val="top"/>
          </w:tcPr>
          <w:p w:rsidR="00000000" w:rsidDel="00000000" w:rsidP="00000000" w:rsidRDefault="00000000" w:rsidRPr="00000000" w14:paraId="000003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7.83996582031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Speculative; no validation evidence confirmed</w:t>
            </w:r>
          </w:p>
        </w:tc>
      </w:tr>
      <w:tr>
        <w:trPr>
          <w:cantSplit w:val="0"/>
          <w:trHeight w:val="576.00036621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7.03994750976562"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Consumer microbiome / stool tests </w:t>
            </w:r>
          </w:p>
        </w:tc>
        <w:tc>
          <w:tcPr>
            <w:shd w:fill="auto" w:val="clear"/>
            <w:tcMar>
              <w:top w:w="100.0" w:type="dxa"/>
              <w:left w:w="100.0" w:type="dxa"/>
              <w:bottom w:w="100.0" w:type="dxa"/>
              <w:right w:w="100.0" w:type="dxa"/>
            </w:tcMar>
            <w:vAlign w:val="top"/>
          </w:tcPr>
          <w:p w:rsidR="00000000" w:rsidDel="00000000" w:rsidP="00000000" w:rsidRDefault="00000000" w:rsidRPr="00000000" w14:paraId="000003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23185920715332" w:lineRule="auto"/>
              <w:ind w:left="122.3199462890625" w:right="214.481201171875" w:firstLine="0.63995361328125"/>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Discouraged by international consensus (80.4% agreement); insufficient evidence for routine use</w:t>
            </w:r>
          </w:p>
        </w:tc>
      </w:tr>
      <w:tr>
        <w:trPr>
          <w:cantSplit w:val="0"/>
          <w:trHeight w:val="367.99987792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7.83996582031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Salivary hormone panels </w:t>
            </w:r>
          </w:p>
        </w:tc>
        <w:tc>
          <w:tcPr>
            <w:shd w:fill="auto" w:val="clear"/>
            <w:tcMar>
              <w:top w:w="100.0" w:type="dxa"/>
              <w:left w:w="100.0" w:type="dxa"/>
              <w:bottom w:w="100.0" w:type="dxa"/>
              <w:right w:w="100.0" w:type="dxa"/>
            </w:tcMar>
            <w:vAlign w:val="top"/>
          </w:tcPr>
          <w:p w:rsidR="00000000" w:rsidDel="00000000" w:rsidP="00000000" w:rsidRDefault="00000000" w:rsidRPr="00000000" w14:paraId="000003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7.83996582031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Speculative; no validation evidence confirmed</w:t>
            </w:r>
          </w:p>
        </w:tc>
      </w:tr>
      <w:tr>
        <w:trPr>
          <w:cantSplit w:val="0"/>
          <w:trHeight w:val="367.99987792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7.03994750976562"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Chronic-infection panels </w:t>
            </w:r>
          </w:p>
        </w:tc>
        <w:tc>
          <w:tcPr>
            <w:shd w:fill="auto" w:val="clear"/>
            <w:tcMar>
              <w:top w:w="100.0" w:type="dxa"/>
              <w:left w:w="100.0" w:type="dxa"/>
              <w:bottom w:w="100.0" w:type="dxa"/>
              <w:right w:w="100.0" w:type="dxa"/>
            </w:tcMar>
            <w:vAlign w:val="top"/>
          </w:tcPr>
          <w:p w:rsidR="00000000" w:rsidDel="00000000" w:rsidP="00000000" w:rsidRDefault="00000000" w:rsidRPr="00000000" w14:paraId="000003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7.83996582031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Speculative; no validation evidence confirmed</w:t>
            </w:r>
          </w:p>
        </w:tc>
      </w:tr>
      <w:tr>
        <w:trPr>
          <w:cantSplit w:val="0"/>
          <w:trHeight w:val="575.99975585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55996704101562"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Whole-body MRI </w:t>
            </w:r>
          </w:p>
        </w:tc>
        <w:tc>
          <w:tcPr>
            <w:shd w:fill="auto" w:val="clear"/>
            <w:tcMar>
              <w:top w:w="100.0" w:type="dxa"/>
              <w:left w:w="100.0" w:type="dxa"/>
              <w:bottom w:w="100.0" w:type="dxa"/>
              <w:right w:w="100.0" w:type="dxa"/>
            </w:tcMar>
            <w:vAlign w:val="top"/>
          </w:tcPr>
          <w:p w:rsidR="00000000" w:rsidDel="00000000" w:rsidP="00000000" w:rsidRDefault="00000000" w:rsidRPr="00000000" w14:paraId="000003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23185920715332" w:lineRule="auto"/>
              <w:ind w:left="115.11993408203125" w:right="125.68115234375" w:firstLine="7.04010009765625"/>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Not recommended for symptom-free people; no sufficient evidence to justify total-body screening</w:t>
            </w:r>
          </w:p>
        </w:tc>
      </w:tr>
      <w:tr>
        <w:trPr>
          <w:cantSplit w:val="0"/>
          <w:trHeight w:val="576.00036621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84005737304688"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Brain MRI volumetrics (consumer) </w:t>
            </w:r>
          </w:p>
        </w:tc>
        <w:tc>
          <w:tcPr>
            <w:shd w:fill="auto" w:val="clear"/>
            <w:tcMar>
              <w:top w:w="100.0" w:type="dxa"/>
              <w:left w:w="100.0" w:type="dxa"/>
              <w:bottom w:w="100.0" w:type="dxa"/>
              <w:right w:w="100.0" w:type="dxa"/>
            </w:tcMar>
            <w:vAlign w:val="top"/>
          </w:tcPr>
          <w:p w:rsidR="00000000" w:rsidDel="00000000" w:rsidP="00000000" w:rsidRDefault="00000000" w:rsidRPr="00000000" w14:paraId="000003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23185920715332" w:lineRule="auto"/>
              <w:ind w:left="115.5999755859375" w:right="570.48095703125" w:firstLine="2.239990234375"/>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Speculative when sold to symptom-free consumers; interpretation not confirmed outside a memory-clinic workup</w:t>
            </w:r>
          </w:p>
        </w:tc>
      </w:tr>
      <w:tr>
        <w:trPr>
          <w:cantSplit w:val="0"/>
          <w:trHeight w:val="575.99975585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23999023437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Amyloid PET / tau PET </w:t>
            </w:r>
          </w:p>
        </w:tc>
        <w:tc>
          <w:tcPr>
            <w:shd w:fill="auto" w:val="clear"/>
            <w:tcMar>
              <w:top w:w="100.0" w:type="dxa"/>
              <w:left w:w="100.0" w:type="dxa"/>
              <w:bottom w:w="100.0" w:type="dxa"/>
              <w:right w:w="100.0" w:type="dxa"/>
            </w:tcMar>
            <w:vAlign w:val="top"/>
          </w:tcPr>
          <w:p w:rsidR="00000000" w:rsidDel="00000000" w:rsidP="00000000" w:rsidRDefault="00000000" w:rsidRPr="00000000" w14:paraId="000003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23185920715332" w:lineRule="auto"/>
              <w:ind w:left="112.239990234375" w:right="383.441162109375" w:firstLine="0.9600830078125"/>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Validated, but not without symptoms — 2025 criteria call it inappropriate for people without cognitive impairment, even APOE4 carriers</w:t>
            </w:r>
          </w:p>
        </w:tc>
      </w:tr>
      <w:tr>
        <w:trPr>
          <w:cantSplit w:val="0"/>
          <w:trHeight w:val="367.99987792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7.03994750976562"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CSF (spinal fluid) testing </w:t>
            </w:r>
          </w:p>
        </w:tc>
        <w:tc>
          <w:tcPr>
            <w:shd w:fill="auto" w:val="clear"/>
            <w:tcMar>
              <w:top w:w="100.0" w:type="dxa"/>
              <w:left w:w="100.0" w:type="dxa"/>
              <w:bottom w:w="100.0" w:type="dxa"/>
              <w:right w:w="100.0" w:type="dxa"/>
            </w:tcMar>
            <w:vAlign w:val="top"/>
          </w:tcPr>
          <w:p w:rsidR="00000000" w:rsidDel="00000000" w:rsidP="00000000" w:rsidRDefault="00000000" w:rsidRPr="00000000" w14:paraId="000003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3.200073242187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Validated as a confirmatory reference standard, only within a symptomatic workup</w:t>
            </w:r>
          </w:p>
        </w:tc>
      </w:tr>
      <w:tr>
        <w:trPr>
          <w:cantSplit w:val="0"/>
          <w:trHeight w:val="576.00036621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7.03994750976562"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Consumer p-tau217 blood tests </w:t>
            </w:r>
          </w:p>
        </w:tc>
        <w:tc>
          <w:tcPr>
            <w:shd w:fill="auto" w:val="clear"/>
            <w:tcMar>
              <w:top w:w="100.0" w:type="dxa"/>
              <w:left w:w="100.0" w:type="dxa"/>
              <w:bottom w:w="100.0" w:type="dxa"/>
              <w:right w:w="100.0" w:type="dxa"/>
            </w:tcMar>
            <w:vAlign w:val="top"/>
          </w:tcPr>
          <w:p w:rsidR="00000000" w:rsidDel="00000000" w:rsidP="00000000" w:rsidRDefault="00000000" w:rsidRPr="00000000" w14:paraId="000003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23185920715332" w:lineRule="auto"/>
              <w:ind w:left="115.7598876953125" w:right="147.76123046875" w:hanging="2.559814453125"/>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Validated only in symptomatic adults 55+ in specialist settings; FDA says not intended as a screening or stand-alone test. Direct-to-consumer prices run $200-$799</w:t>
            </w:r>
          </w:p>
        </w:tc>
      </w:tr>
      <w:tr>
        <w:trPr>
          <w:cantSplit w:val="0"/>
          <w:trHeight w:val="367.99987792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84005737304688"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Baseline cognitive testing (MoCA, MMSE) </w:t>
            </w:r>
          </w:p>
        </w:tc>
        <w:tc>
          <w:tcPr>
            <w:shd w:fill="auto" w:val="clear"/>
            <w:tcMar>
              <w:top w:w="100.0" w:type="dxa"/>
              <w:left w:w="100.0" w:type="dxa"/>
              <w:bottom w:w="100.0" w:type="dxa"/>
              <w:right w:w="100.0" w:type="dxa"/>
            </w:tcMar>
            <w:vAlign w:val="top"/>
          </w:tcPr>
          <w:p w:rsidR="00000000" w:rsidDel="00000000" w:rsidP="00000000" w:rsidRDefault="00000000" w:rsidRPr="00000000" w14:paraId="000003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6400756835937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USPSTF I statement if symptom-free; predictive value about 20% at ages 65-74</w:t>
            </w:r>
          </w:p>
        </w:tc>
      </w:tr>
    </w:tbl>
    <w:p w:rsidR="00000000" w:rsidDel="00000000" w:rsidP="00000000" w:rsidRDefault="00000000" w:rsidRPr="00000000" w14:paraId="000003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9.88402366638184" w:lineRule="auto"/>
        <w:ind w:left="64.4000244140625" w:right="65.20263671875" w:firstLine="9.4000244140625"/>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USPSTF "I" statements recur throughout this table — thyroid, vitamin D, sleep apnea, hearing, vision, cognitive screening. Read them as "we do not know," not "this is bad."</w:t>
      </w:r>
    </w:p>
    <w:p w:rsidR="00000000" w:rsidDel="00000000" w:rsidP="00000000" w:rsidRDefault="00000000" w:rsidRPr="00000000" w14:paraId="000003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3.19999694824219" w:right="0" w:firstLine="0"/>
        <w:jc w:val="left"/>
        <w:rPr>
          <w:rFonts w:ascii="Arial" w:cs="Arial" w:eastAsia="Arial" w:hAnsi="Arial"/>
          <w:b w:val="1"/>
          <w:bCs w:val="1"/>
          <w:i w:val="0"/>
          <w:iCs w:val="0"/>
          <w:smallCaps w:val="0"/>
          <w:strike w:val="0"/>
          <w:color w:val="0f6b5c"/>
          <w:sz w:val="26"/>
          <w:szCs w:val="26"/>
          <w:u w:val="none"/>
          <w:shd w:fill="auto" w:val="clear"/>
          <w:vertAlign w:val="baseline"/>
        </w:rPr>
      </w:pPr>
      <w:r w:rsidDel="00000000" w:rsidR="00000000" w:rsidRPr="00000000">
        <w:rPr>
          <w:rFonts w:ascii="Arial" w:cs="Arial" w:eastAsia="Arial" w:hAnsi="Arial"/>
          <w:b w:val="1"/>
          <w:bCs w:val="1"/>
          <w:i w:val="0"/>
          <w:iCs w:val="0"/>
          <w:smallCaps w:val="0"/>
          <w:strike w:val="0"/>
          <w:color w:val="0f6b5c"/>
          <w:sz w:val="26"/>
          <w:szCs w:val="26"/>
          <w:u w:val="none"/>
          <w:shd w:fill="auto" w:val="clear"/>
          <w:vertAlign w:val="baseline"/>
          <w:rtl w:val="0"/>
        </w:rPr>
        <w:t xml:space="preserve">APOE Testing: A Decision Only You Can Make </w:t>
      </w:r>
    </w:p>
    <w:p w:rsidR="00000000" w:rsidDel="00000000" w:rsidP="00000000" w:rsidRDefault="00000000" w:rsidRPr="00000000" w14:paraId="000003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6.57958984375" w:line="240" w:lineRule="auto"/>
        <w:ind w:left="60.800018310546875"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This guide will not push you toward genetic testing or away from it — only lay out the numbers and trade-offs. </w:t>
      </w:r>
    </w:p>
    <w:p w:rsidR="00000000" w:rsidDel="00000000" w:rsidP="00000000" w:rsidRDefault="00000000" w:rsidRPr="00000000" w14:paraId="000003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6.600341796875" w:line="289.88402366638184" w:lineRule="auto"/>
        <w:ind w:left="64.4000244140625" w:right="38.001708984375" w:hanging="3.600006103515625"/>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 APOE gene makes a protein that carries cholesterol and other fats. You inherit two copies, giving six combinations: 2/2, 2/3, 2/4, 3/3, 3/4, and 4/4. The epsilon-2 variant may provide some protection and later onset if Alzheimer's occurs (roughly 5-10% carry it). Epsilon-3 is the most common and believed neutral. Epsilon-4 raises risk and brings earlier onset — about 15-25% carry one copy and 2-5% carry two, yet some people with an epsilon-4 allele never develop the disease. Between 40% and 65% of people diagnosed with Alzheimer's carry it. Ancestry matters and is usually left out of marketing: testing positive for APOE-e4 may not mean the same thing across all racial and ethnic groups. </w:t>
      </w:r>
    </w:p>
    <w:p w:rsidR="00000000" w:rsidDel="00000000" w:rsidP="00000000" w:rsidRDefault="00000000" w:rsidRPr="00000000" w14:paraId="000003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5.030517578125" w:line="240" w:lineRule="auto"/>
        <w:ind w:left="61.08001708984375" w:right="0" w:firstLine="0"/>
        <w:jc w:val="left"/>
        <w:rPr>
          <w:rFonts w:ascii="Arial" w:cs="Arial" w:eastAsia="Arial" w:hAnsi="Arial"/>
          <w:b w:val="1"/>
          <w:bCs w:val="1"/>
          <w:i w:val="0"/>
          <w:iCs w:val="0"/>
          <w:smallCaps w:val="0"/>
          <w:strike w:val="0"/>
          <w:color w:val="b8863b"/>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b8863b"/>
          <w:sz w:val="22"/>
          <w:szCs w:val="22"/>
          <w:u w:val="none"/>
          <w:shd w:fill="auto" w:val="clear"/>
          <w:vertAlign w:val="baseline"/>
          <w:rtl w:val="0"/>
        </w:rPr>
        <w:t xml:space="preserve">The Absolute Numbers </w:t>
      </w:r>
    </w:p>
    <w:p w:rsidR="00000000" w:rsidDel="00000000" w:rsidP="00000000" w:rsidRDefault="00000000" w:rsidRPr="00000000" w14:paraId="000003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3.260498046875" w:line="289.88402366638184" w:lineRule="auto"/>
        <w:ind w:left="71.39999389648438" w:right="117.6025390625" w:firstLine="4.2000579833984375"/>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Relative risks sound frightening and are easy to misread. Versus 3/3, the odds ratio for 4/4 is 14.49 and for 3/4 is 3.63. But risk peaks in the 60s and falls after 80 — epsilon-4 shifts when disease appears more than the lifetime total. Absolute lifetime risk by age, sex, and genotype: </w:t>
      </w:r>
    </w:p>
    <w:tbl>
      <w:tblPr>
        <w:tblStyle w:val="Table26"/>
        <w:tblW w:w="7717.069663900843" w:type="dxa"/>
        <w:jc w:val="left"/>
        <w:tblInd w:w="396.00006103515625"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22.9295731597044"/>
        <w:gridCol w:w="1397.5797472143354"/>
        <w:gridCol w:w="1397.5792321087833"/>
        <w:gridCol w:w="1397.5792321087833"/>
        <w:gridCol w:w="1701.401879309236"/>
        <w:tblGridChange w:id="0">
          <w:tblGrid>
            <w:gridCol w:w="1822.9295731597044"/>
            <w:gridCol w:w="1397.5797472143354"/>
            <w:gridCol w:w="1397.5792321087833"/>
            <w:gridCol w:w="1397.5792321087833"/>
            <w:gridCol w:w="1701.401879309236"/>
          </w:tblGrid>
        </w:tblGridChange>
      </w:tblGrid>
      <w:tr>
        <w:trPr>
          <w:cantSplit w:val="0"/>
          <w:trHeight w:val="367.99987792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3.32000732421875" w:right="0" w:firstLine="0"/>
              <w:jc w:val="left"/>
              <w:rPr>
                <w:rFonts w:ascii="Arial" w:cs="Arial" w:eastAsia="Arial" w:hAnsi="Arial"/>
                <w:b w:val="1"/>
                <w:bCs w:val="1"/>
                <w:i w:val="0"/>
                <w:iCs w:val="0"/>
                <w:smallCaps w:val="0"/>
                <w:strike w:val="0"/>
                <w:sz w:val="16.600000381469727"/>
                <w:szCs w:val="16.600000381469727"/>
                <w:u w:val="none"/>
                <w:shd w:fill="auto" w:val="clear"/>
                <w:vertAlign w:val="baseline"/>
              </w:rPr>
            </w:pPr>
            <w:r w:rsidDel="00000000" w:rsidR="00000000" w:rsidRPr="00000000">
              <w:rPr>
                <w:rFonts w:ascii="Arial" w:cs="Arial" w:eastAsia="Arial" w:hAnsi="Arial"/>
                <w:b w:val="1"/>
                <w:bCs w:val="1"/>
                <w:i w:val="0"/>
                <w:iCs w:val="0"/>
                <w:smallCaps w:val="0"/>
                <w:strike w:val="0"/>
                <w:sz w:val="16.600000381469727"/>
                <w:szCs w:val="16.600000381469727"/>
                <w:u w:val="none"/>
                <w:shd w:fill="auto" w:val="clear"/>
                <w:vertAlign w:val="baseline"/>
                <w:rtl w:val="0"/>
              </w:rPr>
              <w:t xml:space="preserve">Age and sex </w:t>
            </w:r>
          </w:p>
        </w:tc>
        <w:tc>
          <w:tcPr>
            <w:shd w:fill="auto" w:val="clear"/>
            <w:tcMar>
              <w:top w:w="100.0" w:type="dxa"/>
              <w:left w:w="100.0" w:type="dxa"/>
              <w:bottom w:w="100.0" w:type="dxa"/>
              <w:right w:w="100.0" w:type="dxa"/>
            </w:tcMar>
            <w:vAlign w:val="top"/>
          </w:tcPr>
          <w:p w:rsidR="00000000" w:rsidDel="00000000" w:rsidP="00000000" w:rsidRDefault="00000000" w:rsidRPr="00000000" w14:paraId="000003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48211669921875" w:right="0" w:firstLine="0"/>
              <w:jc w:val="left"/>
              <w:rPr>
                <w:rFonts w:ascii="Arial" w:cs="Arial" w:eastAsia="Arial" w:hAnsi="Arial"/>
                <w:b w:val="1"/>
                <w:bCs w:val="1"/>
                <w:i w:val="0"/>
                <w:iCs w:val="0"/>
                <w:smallCaps w:val="0"/>
                <w:strike w:val="0"/>
                <w:sz w:val="16.600000381469727"/>
                <w:szCs w:val="16.600000381469727"/>
                <w:u w:val="none"/>
                <w:shd w:fill="auto" w:val="clear"/>
                <w:vertAlign w:val="baseline"/>
              </w:rPr>
            </w:pPr>
            <w:r w:rsidDel="00000000" w:rsidR="00000000" w:rsidRPr="00000000">
              <w:rPr>
                <w:rFonts w:ascii="Arial" w:cs="Arial" w:eastAsia="Arial" w:hAnsi="Arial"/>
                <w:b w:val="1"/>
                <w:bCs w:val="1"/>
                <w:i w:val="0"/>
                <w:iCs w:val="0"/>
                <w:smallCaps w:val="0"/>
                <w:strike w:val="0"/>
                <w:sz w:val="16.600000381469727"/>
                <w:szCs w:val="16.600000381469727"/>
                <w:u w:val="none"/>
                <w:shd w:fill="auto" w:val="clear"/>
                <w:vertAlign w:val="baseline"/>
                <w:rtl w:val="0"/>
              </w:rPr>
              <w:t xml:space="preserve">4/4 </w:t>
            </w:r>
          </w:p>
        </w:tc>
        <w:tc>
          <w:tcPr>
            <w:shd w:fill="auto" w:val="clear"/>
            <w:tcMar>
              <w:top w:w="100.0" w:type="dxa"/>
              <w:left w:w="100.0" w:type="dxa"/>
              <w:bottom w:w="100.0" w:type="dxa"/>
              <w:right w:w="100.0" w:type="dxa"/>
            </w:tcMar>
            <w:vAlign w:val="top"/>
          </w:tcPr>
          <w:p w:rsidR="00000000" w:rsidDel="00000000" w:rsidP="00000000" w:rsidRDefault="00000000" w:rsidRPr="00000000" w14:paraId="000003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4818115234375" w:right="0" w:firstLine="0"/>
              <w:jc w:val="left"/>
              <w:rPr>
                <w:rFonts w:ascii="Arial" w:cs="Arial" w:eastAsia="Arial" w:hAnsi="Arial"/>
                <w:b w:val="1"/>
                <w:bCs w:val="1"/>
                <w:i w:val="0"/>
                <w:iCs w:val="0"/>
                <w:smallCaps w:val="0"/>
                <w:strike w:val="0"/>
                <w:sz w:val="16.600000381469727"/>
                <w:szCs w:val="16.600000381469727"/>
                <w:u w:val="none"/>
                <w:shd w:fill="auto" w:val="clear"/>
                <w:vertAlign w:val="baseline"/>
              </w:rPr>
            </w:pPr>
            <w:r w:rsidDel="00000000" w:rsidR="00000000" w:rsidRPr="00000000">
              <w:rPr>
                <w:rFonts w:ascii="Arial" w:cs="Arial" w:eastAsia="Arial" w:hAnsi="Arial"/>
                <w:b w:val="1"/>
                <w:bCs w:val="1"/>
                <w:i w:val="0"/>
                <w:iCs w:val="0"/>
                <w:smallCaps w:val="0"/>
                <w:strike w:val="0"/>
                <w:sz w:val="16.600000381469727"/>
                <w:szCs w:val="16.600000381469727"/>
                <w:u w:val="none"/>
                <w:shd w:fill="auto" w:val="clear"/>
                <w:vertAlign w:val="baseline"/>
                <w:rtl w:val="0"/>
              </w:rPr>
              <w:t xml:space="preserve">3/4 </w:t>
            </w:r>
          </w:p>
        </w:tc>
        <w:tc>
          <w:tcPr>
            <w:shd w:fill="auto" w:val="clear"/>
            <w:tcMar>
              <w:top w:w="100.0" w:type="dxa"/>
              <w:left w:w="100.0" w:type="dxa"/>
              <w:bottom w:w="100.0" w:type="dxa"/>
              <w:right w:w="100.0" w:type="dxa"/>
            </w:tcMar>
            <w:vAlign w:val="top"/>
          </w:tcPr>
          <w:p w:rsidR="00000000" w:rsidDel="00000000" w:rsidP="00000000" w:rsidRDefault="00000000" w:rsidRPr="00000000" w14:paraId="000003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4818115234375" w:right="0" w:firstLine="0"/>
              <w:jc w:val="left"/>
              <w:rPr>
                <w:rFonts w:ascii="Arial" w:cs="Arial" w:eastAsia="Arial" w:hAnsi="Arial"/>
                <w:b w:val="1"/>
                <w:bCs w:val="1"/>
                <w:i w:val="0"/>
                <w:iCs w:val="0"/>
                <w:smallCaps w:val="0"/>
                <w:strike w:val="0"/>
                <w:sz w:val="16.600000381469727"/>
                <w:szCs w:val="16.600000381469727"/>
                <w:u w:val="none"/>
                <w:shd w:fill="auto" w:val="clear"/>
                <w:vertAlign w:val="baseline"/>
              </w:rPr>
            </w:pPr>
            <w:r w:rsidDel="00000000" w:rsidR="00000000" w:rsidRPr="00000000">
              <w:rPr>
                <w:rFonts w:ascii="Arial" w:cs="Arial" w:eastAsia="Arial" w:hAnsi="Arial"/>
                <w:b w:val="1"/>
                <w:bCs w:val="1"/>
                <w:i w:val="0"/>
                <w:iCs w:val="0"/>
                <w:smallCaps w:val="0"/>
                <w:strike w:val="0"/>
                <w:sz w:val="16.600000381469727"/>
                <w:szCs w:val="16.600000381469727"/>
                <w:u w:val="none"/>
                <w:shd w:fill="auto" w:val="clear"/>
                <w:vertAlign w:val="baseline"/>
                <w:rtl w:val="0"/>
              </w:rPr>
              <w:t xml:space="preserve">3/3 </w:t>
            </w:r>
          </w:p>
        </w:tc>
        <w:tc>
          <w:tcPr>
            <w:shd w:fill="auto" w:val="clear"/>
            <w:tcMar>
              <w:top w:w="100.0" w:type="dxa"/>
              <w:left w:w="100.0" w:type="dxa"/>
              <w:bottom w:w="100.0" w:type="dxa"/>
              <w:right w:w="100.0" w:type="dxa"/>
            </w:tcMar>
            <w:vAlign w:val="top"/>
          </w:tcPr>
          <w:p w:rsidR="00000000" w:rsidDel="00000000" w:rsidP="00000000" w:rsidRDefault="00000000" w:rsidRPr="00000000" w14:paraId="000003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3157958984375" w:right="0" w:firstLine="0"/>
              <w:jc w:val="left"/>
              <w:rPr>
                <w:rFonts w:ascii="Arial" w:cs="Arial" w:eastAsia="Arial" w:hAnsi="Arial"/>
                <w:b w:val="1"/>
                <w:bCs w:val="1"/>
                <w:i w:val="0"/>
                <w:iCs w:val="0"/>
                <w:smallCaps w:val="0"/>
                <w:strike w:val="0"/>
                <w:sz w:val="16.600000381469727"/>
                <w:szCs w:val="16.600000381469727"/>
                <w:u w:val="none"/>
                <w:shd w:fill="auto" w:val="clear"/>
                <w:vertAlign w:val="baseline"/>
              </w:rPr>
            </w:pPr>
            <w:r w:rsidDel="00000000" w:rsidR="00000000" w:rsidRPr="00000000">
              <w:rPr>
                <w:rFonts w:ascii="Arial" w:cs="Arial" w:eastAsia="Arial" w:hAnsi="Arial"/>
                <w:b w:val="1"/>
                <w:bCs w:val="1"/>
                <w:i w:val="0"/>
                <w:iCs w:val="0"/>
                <w:smallCaps w:val="0"/>
                <w:strike w:val="0"/>
                <w:sz w:val="16.600000381469727"/>
                <w:szCs w:val="16.600000381469727"/>
                <w:u w:val="none"/>
                <w:shd w:fill="auto" w:val="clear"/>
                <w:vertAlign w:val="baseline"/>
                <w:rtl w:val="0"/>
              </w:rPr>
              <w:t xml:space="preserve">2/2 or 2/3</w:t>
            </w:r>
          </w:p>
        </w:tc>
      </w:tr>
      <w:tr>
        <w:trPr>
          <w:cantSplit w:val="0"/>
          <w:trHeight w:val="367.99987792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0800170898437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65, male </w:t>
            </w:r>
          </w:p>
        </w:tc>
        <w:tc>
          <w:tcPr>
            <w:shd w:fill="auto" w:val="clear"/>
            <w:tcMar>
              <w:top w:w="100.0" w:type="dxa"/>
              <w:left w:w="100.0" w:type="dxa"/>
              <w:bottom w:w="100.0" w:type="dxa"/>
              <w:right w:w="100.0" w:type="dxa"/>
            </w:tcMar>
            <w:vAlign w:val="top"/>
          </w:tcPr>
          <w:p w:rsidR="00000000" w:rsidDel="00000000" w:rsidP="00000000" w:rsidRDefault="00000000" w:rsidRPr="00000000" w14:paraId="000003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3.9999389648437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4.14% </w:t>
            </w:r>
          </w:p>
        </w:tc>
        <w:tc>
          <w:tcPr>
            <w:shd w:fill="auto" w:val="clear"/>
            <w:tcMar>
              <w:top w:w="100.0" w:type="dxa"/>
              <w:left w:w="100.0" w:type="dxa"/>
              <w:bottom w:w="100.0" w:type="dxa"/>
              <w:right w:w="100.0" w:type="dxa"/>
            </w:tcMar>
            <w:vAlign w:val="top"/>
          </w:tcPr>
          <w:p w:rsidR="00000000" w:rsidDel="00000000" w:rsidP="00000000" w:rsidRDefault="00000000" w:rsidRPr="00000000" w14:paraId="000003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6.16027832031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1.03% </w:t>
            </w:r>
          </w:p>
        </w:tc>
        <w:tc>
          <w:tcPr>
            <w:shd w:fill="auto" w:val="clear"/>
            <w:tcMar>
              <w:top w:w="100.0" w:type="dxa"/>
              <w:left w:w="100.0" w:type="dxa"/>
              <w:bottom w:w="100.0" w:type="dxa"/>
              <w:right w:w="100.0" w:type="dxa"/>
            </w:tcMar>
            <w:vAlign w:val="top"/>
          </w:tcPr>
          <w:p w:rsidR="00000000" w:rsidDel="00000000" w:rsidP="00000000" w:rsidRDefault="00000000" w:rsidRPr="00000000" w14:paraId="000003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07971191406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0.28% </w:t>
            </w:r>
          </w:p>
        </w:tc>
        <w:tc>
          <w:tcPr>
            <w:shd w:fill="auto" w:val="clear"/>
            <w:tcMar>
              <w:top w:w="100.0" w:type="dxa"/>
              <w:left w:w="100.0" w:type="dxa"/>
              <w:bottom w:w="100.0" w:type="dxa"/>
              <w:right w:w="100.0" w:type="dxa"/>
            </w:tcMar>
            <w:vAlign w:val="top"/>
          </w:tcPr>
          <w:p w:rsidR="00000000" w:rsidDel="00000000" w:rsidP="00000000" w:rsidRDefault="00000000" w:rsidRPr="00000000" w14:paraId="000003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07971191406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0.21%</w:t>
            </w:r>
          </w:p>
        </w:tc>
      </w:tr>
      <w:tr>
        <w:trPr>
          <w:cantSplit w:val="0"/>
          <w:trHeight w:val="367.99987792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0800170898437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65, female </w:t>
            </w:r>
          </w:p>
        </w:tc>
        <w:tc>
          <w:tcPr>
            <w:shd w:fill="auto" w:val="clear"/>
            <w:tcMar>
              <w:top w:w="100.0" w:type="dxa"/>
              <w:left w:w="100.0" w:type="dxa"/>
              <w:bottom w:w="100.0" w:type="dxa"/>
              <w:right w:w="100.0" w:type="dxa"/>
            </w:tcMar>
            <w:vAlign w:val="top"/>
          </w:tcPr>
          <w:p w:rsidR="00000000" w:rsidDel="00000000" w:rsidP="00000000" w:rsidRDefault="00000000" w:rsidRPr="00000000" w14:paraId="000003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6.159973144531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1.95% </w:t>
            </w:r>
          </w:p>
        </w:tc>
        <w:tc>
          <w:tcPr>
            <w:shd w:fill="auto" w:val="clear"/>
            <w:tcMar>
              <w:top w:w="100.0" w:type="dxa"/>
              <w:left w:w="100.0" w:type="dxa"/>
              <w:bottom w:w="100.0" w:type="dxa"/>
              <w:right w:w="100.0" w:type="dxa"/>
            </w:tcMar>
            <w:vAlign w:val="top"/>
          </w:tcPr>
          <w:p w:rsidR="00000000" w:rsidDel="00000000" w:rsidP="00000000" w:rsidRDefault="00000000" w:rsidRPr="00000000" w14:paraId="000003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07971191406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0.57% </w:t>
            </w:r>
          </w:p>
        </w:tc>
        <w:tc>
          <w:tcPr>
            <w:shd w:fill="auto" w:val="clear"/>
            <w:tcMar>
              <w:top w:w="100.0" w:type="dxa"/>
              <w:left w:w="100.0" w:type="dxa"/>
              <w:bottom w:w="100.0" w:type="dxa"/>
              <w:right w:w="100.0" w:type="dxa"/>
            </w:tcMar>
            <w:vAlign w:val="top"/>
          </w:tcPr>
          <w:p w:rsidR="00000000" w:rsidDel="00000000" w:rsidP="00000000" w:rsidRDefault="00000000" w:rsidRPr="00000000" w14:paraId="000003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07971191406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0.17% </w:t>
            </w:r>
          </w:p>
        </w:tc>
        <w:tc>
          <w:tcPr>
            <w:shd w:fill="auto" w:val="clear"/>
            <w:tcMar>
              <w:top w:w="100.0" w:type="dxa"/>
              <w:left w:w="100.0" w:type="dxa"/>
              <w:bottom w:w="100.0" w:type="dxa"/>
              <w:right w:w="100.0" w:type="dxa"/>
            </w:tcMar>
            <w:vAlign w:val="top"/>
          </w:tcPr>
          <w:p w:rsidR="00000000" w:rsidDel="00000000" w:rsidP="00000000" w:rsidRDefault="00000000" w:rsidRPr="00000000" w14:paraId="000003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07971191406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0.11%</w:t>
            </w:r>
          </w:p>
        </w:tc>
      </w:tr>
      <w:tr>
        <w:trPr>
          <w:cantSplit w:val="0"/>
          <w:trHeight w:val="367.99987792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91995239257812"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75, male </w:t>
            </w:r>
          </w:p>
        </w:tc>
        <w:tc>
          <w:tcPr>
            <w:shd w:fill="auto" w:val="clear"/>
            <w:tcMar>
              <w:top w:w="100.0" w:type="dxa"/>
              <w:left w:w="100.0" w:type="dxa"/>
              <w:bottom w:w="100.0" w:type="dxa"/>
              <w:right w:w="100.0" w:type="dxa"/>
            </w:tcMar>
            <w:vAlign w:val="top"/>
          </w:tcPr>
          <w:p w:rsidR="00000000" w:rsidDel="00000000" w:rsidP="00000000" w:rsidRDefault="00000000" w:rsidRPr="00000000" w14:paraId="000003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1598510742187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28.35% </w:t>
            </w:r>
          </w:p>
        </w:tc>
        <w:tc>
          <w:tcPr>
            <w:shd w:fill="auto" w:val="clear"/>
            <w:tcMar>
              <w:top w:w="100.0" w:type="dxa"/>
              <w:left w:w="100.0" w:type="dxa"/>
              <w:bottom w:w="100.0" w:type="dxa"/>
              <w:right w:w="100.0" w:type="dxa"/>
            </w:tcMar>
            <w:vAlign w:val="top"/>
          </w:tcPr>
          <w:p w:rsidR="00000000" w:rsidDel="00000000" w:rsidP="00000000" w:rsidRDefault="00000000" w:rsidRPr="00000000" w14:paraId="000003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07971191406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6.96% </w:t>
            </w:r>
          </w:p>
        </w:tc>
        <w:tc>
          <w:tcPr>
            <w:shd w:fill="auto" w:val="clear"/>
            <w:tcMar>
              <w:top w:w="100.0" w:type="dxa"/>
              <w:left w:w="100.0" w:type="dxa"/>
              <w:bottom w:w="100.0" w:type="dxa"/>
              <w:right w:w="100.0" w:type="dxa"/>
            </w:tcMar>
            <w:vAlign w:val="top"/>
          </w:tcPr>
          <w:p w:rsidR="00000000" w:rsidDel="00000000" w:rsidP="00000000" w:rsidRDefault="00000000" w:rsidRPr="00000000" w14:paraId="000003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6.16027832031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1.78% </w:t>
            </w:r>
          </w:p>
        </w:tc>
        <w:tc>
          <w:tcPr>
            <w:shd w:fill="auto" w:val="clear"/>
            <w:tcMar>
              <w:top w:w="100.0" w:type="dxa"/>
              <w:left w:w="100.0" w:type="dxa"/>
              <w:bottom w:w="100.0" w:type="dxa"/>
              <w:right w:w="100.0" w:type="dxa"/>
            </w:tcMar>
            <w:vAlign w:val="top"/>
          </w:tcPr>
          <w:p w:rsidR="00000000" w:rsidDel="00000000" w:rsidP="00000000" w:rsidRDefault="00000000" w:rsidRPr="00000000" w14:paraId="000003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6.16027832031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1.12%</w:t>
            </w:r>
          </w:p>
        </w:tc>
      </w:tr>
      <w:tr>
        <w:trPr>
          <w:cantSplit w:val="0"/>
          <w:trHeight w:val="368.0004882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91995239257812"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75, female </w:t>
            </w:r>
          </w:p>
        </w:tc>
        <w:tc>
          <w:tcPr>
            <w:shd w:fill="auto" w:val="clear"/>
            <w:tcMar>
              <w:top w:w="100.0" w:type="dxa"/>
              <w:left w:w="100.0" w:type="dxa"/>
              <w:bottom w:w="100.0" w:type="dxa"/>
              <w:right w:w="100.0" w:type="dxa"/>
            </w:tcMar>
            <w:vAlign w:val="top"/>
          </w:tcPr>
          <w:p w:rsidR="00000000" w:rsidDel="00000000" w:rsidP="00000000" w:rsidRDefault="00000000" w:rsidRPr="00000000" w14:paraId="000003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1598510742187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27.81% </w:t>
            </w:r>
          </w:p>
        </w:tc>
        <w:tc>
          <w:tcPr>
            <w:shd w:fill="auto" w:val="clear"/>
            <w:tcMar>
              <w:top w:w="100.0" w:type="dxa"/>
              <w:left w:w="100.0" w:type="dxa"/>
              <w:bottom w:w="100.0" w:type="dxa"/>
              <w:right w:w="100.0" w:type="dxa"/>
            </w:tcMar>
            <w:vAlign w:val="top"/>
          </w:tcPr>
          <w:p w:rsidR="00000000" w:rsidDel="00000000" w:rsidP="00000000" w:rsidRDefault="00000000" w:rsidRPr="00000000" w14:paraId="000003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919799804687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7.03% </w:t>
            </w:r>
          </w:p>
        </w:tc>
        <w:tc>
          <w:tcPr>
            <w:shd w:fill="auto" w:val="clear"/>
            <w:tcMar>
              <w:top w:w="100.0" w:type="dxa"/>
              <w:left w:w="100.0" w:type="dxa"/>
              <w:bottom w:w="100.0" w:type="dxa"/>
              <w:right w:w="100.0" w:type="dxa"/>
            </w:tcMar>
            <w:vAlign w:val="top"/>
          </w:tcPr>
          <w:p w:rsidR="00000000" w:rsidDel="00000000" w:rsidP="00000000" w:rsidRDefault="00000000" w:rsidRPr="00000000" w14:paraId="000003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6.16027832031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1.69% </w:t>
            </w:r>
          </w:p>
        </w:tc>
        <w:tc>
          <w:tcPr>
            <w:shd w:fill="auto" w:val="clear"/>
            <w:tcMar>
              <w:top w:w="100.0" w:type="dxa"/>
              <w:left w:w="100.0" w:type="dxa"/>
              <w:bottom w:w="100.0" w:type="dxa"/>
              <w:right w:w="100.0" w:type="dxa"/>
            </w:tcMar>
            <w:vAlign w:val="top"/>
          </w:tcPr>
          <w:p w:rsidR="00000000" w:rsidDel="00000000" w:rsidP="00000000" w:rsidRDefault="00000000" w:rsidRPr="00000000" w14:paraId="000003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6.16027832031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1.01%</w:t>
            </w:r>
          </w:p>
        </w:tc>
      </w:tr>
      <w:tr>
        <w:trPr>
          <w:cantSplit w:val="0"/>
          <w:trHeight w:val="367.99987792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0800170898437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85, male </w:t>
            </w:r>
          </w:p>
        </w:tc>
        <w:tc>
          <w:tcPr>
            <w:shd w:fill="auto" w:val="clear"/>
            <w:tcMar>
              <w:top w:w="100.0" w:type="dxa"/>
              <w:left w:w="100.0" w:type="dxa"/>
              <w:bottom w:w="100.0" w:type="dxa"/>
              <w:right w:w="100.0" w:type="dxa"/>
            </w:tcMar>
            <w:vAlign w:val="top"/>
          </w:tcPr>
          <w:p w:rsidR="00000000" w:rsidDel="00000000" w:rsidP="00000000" w:rsidRDefault="00000000" w:rsidRPr="00000000" w14:paraId="000003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119934082031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50.93% </w:t>
            </w:r>
          </w:p>
        </w:tc>
        <w:tc>
          <w:tcPr>
            <w:shd w:fill="auto" w:val="clear"/>
            <w:tcMar>
              <w:top w:w="100.0" w:type="dxa"/>
              <w:left w:w="100.0" w:type="dxa"/>
              <w:bottom w:w="100.0" w:type="dxa"/>
              <w:right w:w="100.0" w:type="dxa"/>
            </w:tcMar>
            <w:vAlign w:val="top"/>
          </w:tcPr>
          <w:p w:rsidR="00000000" w:rsidDel="00000000" w:rsidP="00000000" w:rsidRDefault="00000000" w:rsidRPr="00000000" w14:paraId="000003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160156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23.22% </w:t>
            </w:r>
          </w:p>
        </w:tc>
        <w:tc>
          <w:tcPr>
            <w:shd w:fill="auto" w:val="clear"/>
            <w:tcMar>
              <w:top w:w="100.0" w:type="dxa"/>
              <w:left w:w="100.0" w:type="dxa"/>
              <w:bottom w:w="100.0" w:type="dxa"/>
              <w:right w:w="100.0" w:type="dxa"/>
            </w:tcMar>
            <w:vAlign w:val="top"/>
          </w:tcPr>
          <w:p w:rsidR="00000000" w:rsidDel="00000000" w:rsidP="00000000" w:rsidRDefault="00000000" w:rsidRPr="00000000" w14:paraId="000003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919799804687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7.76% </w:t>
            </w:r>
          </w:p>
        </w:tc>
        <w:tc>
          <w:tcPr>
            <w:shd w:fill="auto" w:val="clear"/>
            <w:tcMar>
              <w:top w:w="100.0" w:type="dxa"/>
              <w:left w:w="100.0" w:type="dxa"/>
              <w:bottom w:w="100.0" w:type="dxa"/>
              <w:right w:w="100.0" w:type="dxa"/>
            </w:tcMar>
            <w:vAlign w:val="top"/>
          </w:tcPr>
          <w:p w:rsidR="00000000" w:rsidDel="00000000" w:rsidP="00000000" w:rsidRDefault="00000000" w:rsidRPr="00000000" w14:paraId="000003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0002441406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4.87%</w:t>
            </w:r>
          </w:p>
        </w:tc>
      </w:tr>
      <w:tr>
        <w:trPr>
          <w:cantSplit w:val="0"/>
          <w:trHeight w:val="367.99987792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0800170898437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85, female </w:t>
            </w:r>
          </w:p>
        </w:tc>
        <w:tc>
          <w:tcPr>
            <w:shd w:fill="auto" w:val="clear"/>
            <w:tcMar>
              <w:top w:w="100.0" w:type="dxa"/>
              <w:left w:w="100.0" w:type="dxa"/>
              <w:bottom w:w="100.0" w:type="dxa"/>
              <w:right w:w="100.0" w:type="dxa"/>
            </w:tcMar>
            <w:vAlign w:val="top"/>
          </w:tcPr>
          <w:p w:rsidR="00000000" w:rsidDel="00000000" w:rsidP="00000000" w:rsidRDefault="00000000" w:rsidRPr="00000000" w14:paraId="000003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0800170898437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60.37% </w:t>
            </w:r>
          </w:p>
        </w:tc>
        <w:tc>
          <w:tcPr>
            <w:shd w:fill="auto" w:val="clear"/>
            <w:tcMar>
              <w:top w:w="100.0" w:type="dxa"/>
              <w:left w:w="100.0" w:type="dxa"/>
              <w:bottom w:w="100.0" w:type="dxa"/>
              <w:right w:w="100.0" w:type="dxa"/>
            </w:tcMar>
            <w:vAlign w:val="top"/>
          </w:tcPr>
          <w:p w:rsidR="00000000" w:rsidDel="00000000" w:rsidP="00000000" w:rsidRDefault="00000000" w:rsidRPr="00000000" w14:paraId="000003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44006347656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30.09% </w:t>
            </w:r>
          </w:p>
        </w:tc>
        <w:tc>
          <w:tcPr>
            <w:shd w:fill="auto" w:val="clear"/>
            <w:tcMar>
              <w:top w:w="100.0" w:type="dxa"/>
              <w:left w:w="100.0" w:type="dxa"/>
              <w:bottom w:w="100.0" w:type="dxa"/>
              <w:right w:w="100.0" w:type="dxa"/>
            </w:tcMar>
            <w:vAlign w:val="top"/>
          </w:tcPr>
          <w:p w:rsidR="00000000" w:rsidDel="00000000" w:rsidP="00000000" w:rsidRDefault="00000000" w:rsidRPr="00000000" w14:paraId="000003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6.16027832031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10.23% </w:t>
            </w:r>
          </w:p>
        </w:tc>
        <w:tc>
          <w:tcPr>
            <w:shd w:fill="auto" w:val="clear"/>
            <w:tcMar>
              <w:top w:w="100.0" w:type="dxa"/>
              <w:left w:w="100.0" w:type="dxa"/>
              <w:bottom w:w="100.0" w:type="dxa"/>
              <w:right w:w="100.0" w:type="dxa"/>
            </w:tcMar>
            <w:vAlign w:val="top"/>
          </w:tcPr>
          <w:p w:rsidR="00000000" w:rsidDel="00000000" w:rsidP="00000000" w:rsidRDefault="00000000" w:rsidRPr="00000000" w14:paraId="000003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07971191406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6.40%</w:t>
            </w:r>
          </w:p>
        </w:tc>
      </w:tr>
    </w:tbl>
    <w:p w:rsidR="00000000" w:rsidDel="00000000" w:rsidP="00000000" w:rsidRDefault="00000000" w:rsidRPr="00000000" w14:paraId="000003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9.88402366638184" w:lineRule="auto"/>
        <w:ind w:left="60.800018310546875" w:right="134.400634765625" w:firstLine="14.800033569335938"/>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Researchers summarize 4/4 as roughly 30% risk by 75 and over 50% by 85, and argue APOE should be reclassified from "risk factor" to "major gene." Two honest readings: the female 4/4 estimate is higher at 85 but lower at 65, so "women with epsilon-4 are at higher risk" holds only at older ages; and one copy sits far closer to 3/3 than to 4/4, so treating "APOE4-positive" as one category is misleading. </w:t>
      </w:r>
    </w:p>
    <w:p w:rsidR="00000000" w:rsidDel="00000000" w:rsidP="00000000" w:rsidRDefault="00000000" w:rsidRPr="00000000" w14:paraId="000003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5.0299072265625" w:line="240" w:lineRule="auto"/>
        <w:ind w:left="61.08001708984375" w:right="0" w:firstLine="0"/>
        <w:jc w:val="left"/>
        <w:rPr>
          <w:rFonts w:ascii="Arial" w:cs="Arial" w:eastAsia="Arial" w:hAnsi="Arial"/>
          <w:b w:val="1"/>
          <w:bCs w:val="1"/>
          <w:i w:val="0"/>
          <w:iCs w:val="0"/>
          <w:smallCaps w:val="0"/>
          <w:strike w:val="0"/>
          <w:color w:val="b8863b"/>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b8863b"/>
          <w:sz w:val="22"/>
          <w:szCs w:val="22"/>
          <w:u w:val="none"/>
          <w:shd w:fill="auto" w:val="clear"/>
          <w:vertAlign w:val="baseline"/>
          <w:rtl w:val="0"/>
        </w:rPr>
        <w:t xml:space="preserve">The Limits of Penetrance and What Testing Feels Like </w:t>
      </w:r>
    </w:p>
    <w:p w:rsidR="00000000" w:rsidDel="00000000" w:rsidP="00000000" w:rsidRDefault="00000000" w:rsidRPr="00000000" w14:paraId="000003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3.2598876953125" w:line="289.88402366638184" w:lineRule="auto"/>
        <w:ind w:left="65.20004272460938" w:right="151.202392578125" w:hanging="4.4000244140625"/>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 2024 multicohort analysis found 4/4 approaches, but does not reach, the certainty of rare inherited forms: at autopsy, 82% had high Alzheimer's pathology and 88% had clinical Alzheimer's dementia. Twelve percent never got a diagnosis, and the sample came from autopsy referrals — for population risk, use the table above. </w:t>
      </w:r>
    </w:p>
    <w:p w:rsidR="00000000" w:rsidDel="00000000" w:rsidP="00000000" w:rsidRDefault="00000000" w:rsidRPr="00000000" w14:paraId="000003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5.0299072265625" w:line="289.88402366638184" w:lineRule="auto"/>
        <w:ind w:left="60.800018310546875" w:right="38.004150390625" w:firstLine="5.9999847412109375"/>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Clinically, APOE testing is used primarily in research settings and is not routinely used in clinical care. The main randomized trial on disclosure, REVEAL, tested 162 symptom-free adults with an affected parent, randomized to learning their result or not. Anxiety and depression showed no differences between epsilon-4-positive, epsilon-4-negative, and non-disclosure groups at 6 weeks, 6 months, or 12 months. Elsewhere, 61-73% of epsilon-4-negative people felt relieved versus 11-19% of epsilon-4-positive people, and 15-30% of epsilon-4-positive people felt depressed. </w:t>
      </w:r>
    </w:p>
    <w:p w:rsidR="00000000" w:rsidDel="00000000" w:rsidP="00000000" w:rsidRDefault="00000000" w:rsidRPr="00000000" w14:paraId="000003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5.0299072265625" w:line="289.88402366638184" w:lineRule="auto"/>
        <w:ind w:left="60.800018310546875" w:right="329.20166015625"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 part that matters most: everyone in REVEAL got a 90-minute session on the limitations of APOE testing and the absence of a medical benefit, plus a counselor meeting, and already-anxious people were screened out. The evidence supports "disclosure is safe when counseled," not "safe when bought online." The Alzheimer's Association is direct: anyone considering genetic testing for any reason should receive genetic counseling before a test is ordered and when results are obtained.</w:t>
      </w:r>
    </w:p>
    <w:p w:rsidR="00000000" w:rsidDel="00000000" w:rsidP="00000000" w:rsidRDefault="00000000" w:rsidRPr="00000000" w14:paraId="000003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9.88402366638184" w:lineRule="auto"/>
        <w:ind w:left="60.800018310546875" w:right="118.802490234375"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APOE4 status does not change your prevention plan. No risk-reduction intervention is recommended only for epsilon-4 carriers, and in US POINTER there was no interaction with APOE epsilon-4 (p=0.95) — the program worked the same regardless of genotype. Note also: the product a worried person would most want, long-term care insurance, is generally not covered by genetic non-discrimination protections (GINA) — settling insurance questions before testing is a sensible order of operations.</w:t>
      </w:r>
    </w:p>
    <w:p w:rsidR="00000000" w:rsidDel="00000000" w:rsidP="00000000" w:rsidRDefault="00000000" w:rsidRPr="00000000" w14:paraId="000003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1.25999450683594" w:right="0" w:firstLine="0"/>
        <w:jc w:val="left"/>
        <w:rPr>
          <w:rFonts w:ascii="Arial" w:cs="Arial" w:eastAsia="Arial" w:hAnsi="Arial"/>
          <w:b w:val="1"/>
          <w:bCs w:val="1"/>
          <w:i w:val="0"/>
          <w:iCs w:val="0"/>
          <w:smallCaps w:val="0"/>
          <w:strike w:val="0"/>
          <w:color w:val="1b3a4b"/>
          <w:sz w:val="34"/>
          <w:szCs w:val="34"/>
          <w:u w:val="none"/>
          <w:shd w:fill="auto" w:val="clear"/>
          <w:vertAlign w:val="baseline"/>
        </w:rPr>
      </w:pPr>
      <w:r w:rsidDel="00000000" w:rsidR="00000000" w:rsidRPr="00000000">
        <w:rPr>
          <w:rFonts w:ascii="Arial" w:cs="Arial" w:eastAsia="Arial" w:hAnsi="Arial"/>
          <w:b w:val="1"/>
          <w:bCs w:val="1"/>
          <w:i w:val="0"/>
          <w:iCs w:val="0"/>
          <w:smallCaps w:val="0"/>
          <w:strike w:val="0"/>
          <w:color w:val="1b3a4b"/>
          <w:sz w:val="34"/>
          <w:szCs w:val="34"/>
          <w:u w:val="none"/>
          <w:shd w:fill="auto" w:val="clear"/>
          <w:vertAlign w:val="baseline"/>
          <w:rtl w:val="0"/>
        </w:rPr>
        <w:t xml:space="preserve">Section 10: The Evidence Tables — Quick Reference </w:t>
      </w:r>
    </w:p>
    <w:p w:rsidR="00000000" w:rsidDel="00000000" w:rsidP="00000000" w:rsidRDefault="00000000" w:rsidRPr="00000000" w14:paraId="000003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3.22021484375" w:line="289.88402366638184" w:lineRule="auto"/>
        <w:ind w:left="66.00006103515625" w:right="429.002685546875" w:hanging="5.200042724609375"/>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This consolidated reference pulls the key intervention, purpose, effect, and caution for the major categories covered in this guide into one place for quick lookup. </w:t>
      </w:r>
    </w:p>
    <w:p w:rsidR="00000000" w:rsidDel="00000000" w:rsidP="00000000" w:rsidRDefault="00000000" w:rsidRPr="00000000" w14:paraId="000003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5.030517578125" w:line="240" w:lineRule="auto"/>
        <w:ind w:left="61.6400146484375" w:right="0" w:firstLine="0"/>
        <w:jc w:val="left"/>
        <w:rPr>
          <w:rFonts w:ascii="Arial" w:cs="Arial" w:eastAsia="Arial" w:hAnsi="Arial"/>
          <w:b w:val="1"/>
          <w:bCs w:val="1"/>
          <w:i w:val="0"/>
          <w:iCs w:val="0"/>
          <w:smallCaps w:val="0"/>
          <w:strike w:val="0"/>
          <w:color w:val="0f6b5c"/>
          <w:sz w:val="26"/>
          <w:szCs w:val="26"/>
          <w:u w:val="none"/>
          <w:shd w:fill="auto" w:val="clear"/>
          <w:vertAlign w:val="baseline"/>
        </w:rPr>
      </w:pPr>
      <w:r w:rsidDel="00000000" w:rsidR="00000000" w:rsidRPr="00000000">
        <w:rPr>
          <w:rFonts w:ascii="Arial" w:cs="Arial" w:eastAsia="Arial" w:hAnsi="Arial"/>
          <w:b w:val="1"/>
          <w:bCs w:val="1"/>
          <w:i w:val="0"/>
          <w:iCs w:val="0"/>
          <w:smallCaps w:val="0"/>
          <w:strike w:val="0"/>
          <w:color w:val="0f6b5c"/>
          <w:sz w:val="26"/>
          <w:szCs w:val="26"/>
          <w:u w:val="none"/>
          <w:shd w:fill="auto" w:val="clear"/>
          <w:vertAlign w:val="baseline"/>
          <w:rtl w:val="0"/>
        </w:rPr>
        <w:t xml:space="preserve">Table 1: Lifestyle Interventions</w:t>
      </w:r>
    </w:p>
    <w:tbl>
      <w:tblPr>
        <w:tblStyle w:val="Table27"/>
        <w:tblW w:w="9648.000183105469" w:type="dxa"/>
        <w:jc w:val="left"/>
        <w:tblInd w:w="144.00009155273438"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880"/>
        <w:gridCol w:w="3312.0004272460938"/>
        <w:gridCol w:w="3455.999755859375"/>
        <w:tblGridChange w:id="0">
          <w:tblGrid>
            <w:gridCol w:w="2880"/>
            <w:gridCol w:w="3312.0004272460938"/>
            <w:gridCol w:w="3455.999755859375"/>
          </w:tblGrid>
        </w:tblGridChange>
      </w:tblGrid>
      <w:tr>
        <w:trPr>
          <w:cantSplit w:val="0"/>
          <w:trHeight w:val="368.0004882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0.62393188476562" w:right="0" w:firstLine="0"/>
              <w:jc w:val="left"/>
              <w:rPr>
                <w:rFonts w:ascii="Arial" w:cs="Arial" w:eastAsia="Arial" w:hAnsi="Arial"/>
                <w:b w:val="1"/>
                <w:bCs w:val="1"/>
                <w:i w:val="0"/>
                <w:iCs w:val="0"/>
                <w:smallCaps w:val="0"/>
                <w:strike w:val="0"/>
                <w:sz w:val="16.600000381469727"/>
                <w:szCs w:val="16.600000381469727"/>
                <w:u w:val="none"/>
                <w:shd w:fill="auto" w:val="clear"/>
                <w:vertAlign w:val="baseline"/>
              </w:rPr>
            </w:pPr>
            <w:r w:rsidDel="00000000" w:rsidR="00000000" w:rsidRPr="00000000">
              <w:rPr>
                <w:rFonts w:ascii="Arial" w:cs="Arial" w:eastAsia="Arial" w:hAnsi="Arial"/>
                <w:b w:val="1"/>
                <w:bCs w:val="1"/>
                <w:i w:val="0"/>
                <w:iCs w:val="0"/>
                <w:smallCaps w:val="0"/>
                <w:strike w:val="0"/>
                <w:sz w:val="16.600000381469727"/>
                <w:szCs w:val="16.600000381469727"/>
                <w:u w:val="none"/>
                <w:shd w:fill="auto" w:val="clear"/>
                <w:vertAlign w:val="baseline"/>
                <w:rtl w:val="0"/>
              </w:rPr>
              <w:t xml:space="preserve">Intervention </w:t>
            </w:r>
          </w:p>
        </w:tc>
        <w:tc>
          <w:tcPr>
            <w:shd w:fill="auto" w:val="clear"/>
            <w:tcMar>
              <w:top w:w="100.0" w:type="dxa"/>
              <w:left w:w="100.0" w:type="dxa"/>
              <w:bottom w:w="100.0" w:type="dxa"/>
              <w:right w:w="100.0" w:type="dxa"/>
            </w:tcMar>
            <w:vAlign w:val="top"/>
          </w:tcPr>
          <w:p w:rsidR="00000000" w:rsidDel="00000000" w:rsidP="00000000" w:rsidRDefault="00000000" w:rsidRPr="00000000" w14:paraId="000003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615966796875" w:right="0" w:firstLine="0"/>
              <w:jc w:val="left"/>
              <w:rPr>
                <w:rFonts w:ascii="Arial" w:cs="Arial" w:eastAsia="Arial" w:hAnsi="Arial"/>
                <w:b w:val="1"/>
                <w:bCs w:val="1"/>
                <w:i w:val="0"/>
                <w:iCs w:val="0"/>
                <w:smallCaps w:val="0"/>
                <w:strike w:val="0"/>
                <w:sz w:val="16.600000381469727"/>
                <w:szCs w:val="16.600000381469727"/>
                <w:u w:val="none"/>
                <w:shd w:fill="auto" w:val="clear"/>
                <w:vertAlign w:val="baseline"/>
              </w:rPr>
            </w:pPr>
            <w:r w:rsidDel="00000000" w:rsidR="00000000" w:rsidRPr="00000000">
              <w:rPr>
                <w:rFonts w:ascii="Arial" w:cs="Arial" w:eastAsia="Arial" w:hAnsi="Arial"/>
                <w:b w:val="1"/>
                <w:bCs w:val="1"/>
                <w:i w:val="0"/>
                <w:iCs w:val="0"/>
                <w:smallCaps w:val="0"/>
                <w:strike w:val="0"/>
                <w:sz w:val="16.600000381469727"/>
                <w:szCs w:val="16.600000381469727"/>
                <w:u w:val="none"/>
                <w:shd w:fill="auto" w:val="clear"/>
                <w:vertAlign w:val="baseline"/>
                <w:rtl w:val="0"/>
              </w:rPr>
              <w:t xml:space="preserve">Purpose </w:t>
            </w:r>
          </w:p>
        </w:tc>
        <w:tc>
          <w:tcPr>
            <w:shd w:fill="auto" w:val="clear"/>
            <w:tcMar>
              <w:top w:w="100.0" w:type="dxa"/>
              <w:left w:w="100.0" w:type="dxa"/>
              <w:bottom w:w="100.0" w:type="dxa"/>
              <w:right w:w="100.0" w:type="dxa"/>
            </w:tcMar>
            <w:vAlign w:val="top"/>
          </w:tcPr>
          <w:p w:rsidR="00000000" w:rsidDel="00000000" w:rsidP="00000000" w:rsidRDefault="00000000" w:rsidRPr="00000000" w14:paraId="000003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4.442138671875" w:right="0" w:firstLine="0"/>
              <w:jc w:val="left"/>
              <w:rPr>
                <w:rFonts w:ascii="Arial" w:cs="Arial" w:eastAsia="Arial" w:hAnsi="Arial"/>
                <w:b w:val="1"/>
                <w:bCs w:val="1"/>
                <w:i w:val="0"/>
                <w:iCs w:val="0"/>
                <w:smallCaps w:val="0"/>
                <w:strike w:val="0"/>
                <w:sz w:val="16.600000381469727"/>
                <w:szCs w:val="16.600000381469727"/>
                <w:u w:val="none"/>
                <w:shd w:fill="auto" w:val="clear"/>
                <w:vertAlign w:val="baseline"/>
              </w:rPr>
            </w:pPr>
            <w:r w:rsidDel="00000000" w:rsidR="00000000" w:rsidRPr="00000000">
              <w:rPr>
                <w:rFonts w:ascii="Arial" w:cs="Arial" w:eastAsia="Arial" w:hAnsi="Arial"/>
                <w:b w:val="1"/>
                <w:bCs w:val="1"/>
                <w:i w:val="0"/>
                <w:iCs w:val="0"/>
                <w:smallCaps w:val="0"/>
                <w:strike w:val="0"/>
                <w:sz w:val="16.600000381469727"/>
                <w:szCs w:val="16.600000381469727"/>
                <w:u w:val="none"/>
                <w:shd w:fill="auto" w:val="clear"/>
                <w:vertAlign w:val="baseline"/>
                <w:rtl w:val="0"/>
              </w:rPr>
              <w:t xml:space="preserve">Key risk / caution</w:t>
            </w:r>
          </w:p>
        </w:tc>
      </w:tr>
      <w:tr>
        <w:trPr>
          <w:cantSplit w:val="0"/>
          <w:trHeight w:val="783.9990234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23999023437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Aerobic exercise, 150 min/week </w:t>
            </w:r>
          </w:p>
        </w:tc>
        <w:tc>
          <w:tcPr>
            <w:shd w:fill="auto" w:val="clear"/>
            <w:tcMar>
              <w:top w:w="100.0" w:type="dxa"/>
              <w:left w:w="100.0" w:type="dxa"/>
              <w:bottom w:w="100.0" w:type="dxa"/>
              <w:right w:w="100.0" w:type="dxa"/>
            </w:tcMar>
            <w:vAlign w:val="top"/>
          </w:tcPr>
          <w:p w:rsidR="00000000" w:rsidDel="00000000" w:rsidP="00000000" w:rsidRDefault="00000000" w:rsidRPr="00000000" w14:paraId="000003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160034179687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Keep blood flowing to the heart and brain </w:t>
            </w:r>
          </w:p>
        </w:tc>
        <w:tc>
          <w:tcPr>
            <w:shd w:fill="auto" w:val="clear"/>
            <w:tcMar>
              <w:top w:w="100.0" w:type="dxa"/>
              <w:left w:w="100.0" w:type="dxa"/>
              <w:bottom w:w="100.0" w:type="dxa"/>
              <w:right w:w="100.0" w:type="dxa"/>
            </w:tcMar>
            <w:vAlign w:val="top"/>
          </w:tcPr>
          <w:p w:rsidR="00000000" w:rsidDel="00000000" w:rsidP="00000000" w:rsidRDefault="00000000" w:rsidRPr="00000000" w14:paraId="000003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1.0192060470581" w:lineRule="auto"/>
              <w:ind w:left="116.400146484375" w:right="100.08056640625" w:firstLine="8.1597900390625"/>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Injury from doing too much too soon; ask your clinician before starting if previously </w:t>
            </w:r>
          </w:p>
          <w:p w:rsidR="00000000" w:rsidDel="00000000" w:rsidP="00000000" w:rsidRDefault="00000000" w:rsidRPr="00000000" w14:paraId="000003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67529296875" w:line="240" w:lineRule="auto"/>
              <w:ind w:left="115.12023925781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sedentary</w:t>
            </w:r>
          </w:p>
        </w:tc>
      </w:tr>
      <w:tr>
        <w:trPr>
          <w:cantSplit w:val="0"/>
          <w:trHeight w:val="576.000976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4.08004760742188"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Resistance training, 2+ days/week </w:t>
            </w:r>
          </w:p>
        </w:tc>
        <w:tc>
          <w:tcPr>
            <w:shd w:fill="auto" w:val="clear"/>
            <w:tcMar>
              <w:top w:w="100.0" w:type="dxa"/>
              <w:left w:w="100.0" w:type="dxa"/>
              <w:bottom w:w="100.0" w:type="dxa"/>
              <w:right w:w="100.0" w:type="dxa"/>
            </w:tcMar>
            <w:vAlign w:val="top"/>
          </w:tcPr>
          <w:p w:rsidR="00000000" w:rsidDel="00000000" w:rsidP="00000000" w:rsidRDefault="00000000" w:rsidRPr="00000000" w14:paraId="000003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3.760070800781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Preserve muscle and physical strength </w:t>
            </w:r>
          </w:p>
        </w:tc>
        <w:tc>
          <w:tcPr>
            <w:shd w:fill="auto" w:val="clear"/>
            <w:tcMar>
              <w:top w:w="100.0" w:type="dxa"/>
              <w:left w:w="100.0" w:type="dxa"/>
              <w:bottom w:w="100.0" w:type="dxa"/>
              <w:right w:w="100.0" w:type="dxa"/>
            </w:tcMar>
            <w:vAlign w:val="top"/>
          </w:tcPr>
          <w:p w:rsidR="00000000" w:rsidDel="00000000" w:rsidP="00000000" w:rsidRDefault="00000000" w:rsidRPr="00000000" w14:paraId="000003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231201171875" w:lineRule="auto"/>
              <w:ind w:left="120.3997802734375" w:right="402.960205078125" w:hanging="2.559814453125"/>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Strains if form is poor; ask your clinician if new to lifting</w:t>
            </w:r>
          </w:p>
        </w:tc>
      </w:tr>
      <w:tr>
        <w:trPr>
          <w:cantSplit w:val="0"/>
          <w:trHeight w:val="783.9990234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31994628906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High-intensity interval training </w:t>
            </w:r>
          </w:p>
        </w:tc>
        <w:tc>
          <w:tcPr>
            <w:shd w:fill="auto" w:val="clear"/>
            <w:tcMar>
              <w:top w:w="100.0" w:type="dxa"/>
              <w:left w:w="100.0" w:type="dxa"/>
              <w:bottom w:w="100.0" w:type="dxa"/>
              <w:right w:w="100.0" w:type="dxa"/>
            </w:tcMar>
            <w:vAlign w:val="top"/>
          </w:tcPr>
          <w:p w:rsidR="00000000" w:rsidDel="00000000" w:rsidP="00000000" w:rsidRDefault="00000000" w:rsidRPr="00000000" w14:paraId="000003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7.83996582031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Sharpen attention and thinking speed </w:t>
            </w:r>
          </w:p>
        </w:tc>
        <w:tc>
          <w:tcPr>
            <w:shd w:fill="auto" w:val="clear"/>
            <w:tcMar>
              <w:top w:w="100.0" w:type="dxa"/>
              <w:left w:w="100.0" w:type="dxa"/>
              <w:bottom w:w="100.0" w:type="dxa"/>
              <w:right w:w="100.0" w:type="dxa"/>
            </w:tcMar>
            <w:vAlign w:val="top"/>
          </w:tcPr>
          <w:p w:rsidR="00000000" w:rsidDel="00000000" w:rsidP="00000000" w:rsidRDefault="00000000" w:rsidRPr="00000000" w14:paraId="000003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31994628906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Hard effort; strain or injury before </w:t>
            </w:r>
          </w:p>
          <w:p w:rsidR="00000000" w:rsidDel="00000000" w:rsidP="00000000" w:rsidRDefault="00000000" w:rsidRPr="00000000" w14:paraId="000003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231201171875" w:lineRule="auto"/>
              <w:ind w:left="115.7598876953125" w:right="465.2001953125" w:firstLine="4.639892578125"/>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high-intensity work — clinician clearance advised</w:t>
            </w:r>
          </w:p>
        </w:tc>
      </w:tr>
      <w:tr>
        <w:trPr>
          <w:cantSplit w:val="0"/>
          <w:trHeight w:val="576.000976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84005737304688"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Balance and mobility training </w:t>
            </w:r>
          </w:p>
        </w:tc>
        <w:tc>
          <w:tcPr>
            <w:shd w:fill="auto" w:val="clear"/>
            <w:tcMar>
              <w:top w:w="100.0" w:type="dxa"/>
              <w:left w:w="100.0" w:type="dxa"/>
              <w:bottom w:w="100.0" w:type="dxa"/>
              <w:right w:w="100.0" w:type="dxa"/>
            </w:tcMar>
            <w:vAlign w:val="top"/>
          </w:tcPr>
          <w:p w:rsidR="00000000" w:rsidDel="00000000" w:rsidP="00000000" w:rsidRDefault="00000000" w:rsidRPr="00000000" w14:paraId="000003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7.83996582031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Stay steady on your feet </w:t>
            </w:r>
          </w:p>
        </w:tc>
        <w:tc>
          <w:tcPr>
            <w:shd w:fill="auto" w:val="clear"/>
            <w:tcMar>
              <w:top w:w="100.0" w:type="dxa"/>
              <w:left w:w="100.0" w:type="dxa"/>
              <w:bottom w:w="100.0" w:type="dxa"/>
              <w:right w:w="100.0" w:type="dxa"/>
            </w:tcMar>
            <w:vAlign w:val="top"/>
          </w:tcPr>
          <w:p w:rsidR="00000000" w:rsidDel="00000000" w:rsidP="00000000" w:rsidRDefault="00000000" w:rsidRPr="00000000" w14:paraId="000003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23185920715332" w:lineRule="auto"/>
              <w:ind w:left="116.400146484375" w:right="91.76025390625" w:firstLine="7.359619140625"/>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Falls while practicing new moves; use a rail or chair if unsteady</w:t>
            </w:r>
          </w:p>
        </w:tc>
      </w:tr>
      <w:tr>
        <w:trPr>
          <w:cantSplit w:val="0"/>
          <w:trHeight w:val="367.99926757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55996704101562"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Walking and daily step count </w:t>
            </w:r>
          </w:p>
        </w:tc>
        <w:tc>
          <w:tcPr>
            <w:shd w:fill="auto" w:val="clear"/>
            <w:tcMar>
              <w:top w:w="100.0" w:type="dxa"/>
              <w:left w:w="100.0" w:type="dxa"/>
              <w:bottom w:w="100.0" w:type="dxa"/>
              <w:right w:w="100.0" w:type="dxa"/>
            </w:tcMar>
            <w:vAlign w:val="top"/>
          </w:tcPr>
          <w:p w:rsidR="00000000" w:rsidDel="00000000" w:rsidP="00000000" w:rsidRDefault="00000000" w:rsidRPr="00000000" w14:paraId="000003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839904785156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Build brain-healthy movement into the day </w:t>
            </w:r>
          </w:p>
        </w:tc>
        <w:tc>
          <w:tcPr>
            <w:shd w:fill="auto" w:val="clear"/>
            <w:tcMar>
              <w:top w:w="100.0" w:type="dxa"/>
              <w:left w:w="100.0" w:type="dxa"/>
              <w:bottom w:w="100.0" w:type="dxa"/>
              <w:right w:w="100.0" w:type="dxa"/>
            </w:tcMar>
            <w:vAlign w:val="top"/>
          </w:tcPr>
          <w:p w:rsidR="00000000" w:rsidDel="00000000" w:rsidP="00000000" w:rsidRDefault="00000000" w:rsidRPr="00000000" w14:paraId="000003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3.7597656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Foot or joint soreness</w:t>
            </w:r>
          </w:p>
        </w:tc>
      </w:tr>
      <w:tr>
        <w:trPr>
          <w:cantSplit w:val="0"/>
          <w:trHeight w:val="368.0004882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4.08004760742188"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Reducing sitting time </w:t>
            </w:r>
          </w:p>
        </w:tc>
        <w:tc>
          <w:tcPr>
            <w:shd w:fill="auto" w:val="clear"/>
            <w:tcMar>
              <w:top w:w="100.0" w:type="dxa"/>
              <w:left w:w="100.0" w:type="dxa"/>
              <w:bottom w:w="100.0" w:type="dxa"/>
              <w:right w:w="100.0" w:type="dxa"/>
            </w:tcMar>
            <w:vAlign w:val="top"/>
          </w:tcPr>
          <w:p w:rsidR="00000000" w:rsidDel="00000000" w:rsidP="00000000" w:rsidRDefault="00000000" w:rsidRPr="00000000" w14:paraId="000003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839904785156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Break up long unbroken sitting </w:t>
            </w:r>
          </w:p>
        </w:tc>
        <w:tc>
          <w:tcPr>
            <w:shd w:fill="auto" w:val="clear"/>
            <w:tcMar>
              <w:top w:w="100.0" w:type="dxa"/>
              <w:left w:w="100.0" w:type="dxa"/>
              <w:bottom w:w="100.0" w:type="dxa"/>
              <w:right w:w="100.0" w:type="dxa"/>
            </w:tcMar>
            <w:vAlign w:val="top"/>
          </w:tcPr>
          <w:p w:rsidR="00000000" w:rsidDel="00000000" w:rsidP="00000000" w:rsidRDefault="00000000" w:rsidRPr="00000000" w14:paraId="000003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160034179687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None known</w:t>
            </w:r>
          </w:p>
        </w:tc>
      </w:tr>
      <w:tr>
        <w:trPr>
          <w:cantSplit w:val="0"/>
          <w:trHeight w:val="575.99975585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7.03994750976562"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Cardiorespiratory fitness (stamina) </w:t>
            </w:r>
          </w:p>
        </w:tc>
        <w:tc>
          <w:tcPr>
            <w:shd w:fill="auto" w:val="clear"/>
            <w:tcMar>
              <w:top w:w="100.0" w:type="dxa"/>
              <w:left w:w="100.0" w:type="dxa"/>
              <w:bottom w:w="100.0" w:type="dxa"/>
              <w:right w:w="100.0" w:type="dxa"/>
            </w:tcMar>
            <w:vAlign w:val="top"/>
          </w:tcPr>
          <w:p w:rsidR="00000000" w:rsidDel="00000000" w:rsidP="00000000" w:rsidRDefault="00000000" w:rsidRPr="00000000" w14:paraId="000003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4.079895019531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Raise how well the body uses oxygen </w:t>
            </w:r>
          </w:p>
        </w:tc>
        <w:tc>
          <w:tcPr>
            <w:shd w:fill="auto" w:val="clear"/>
            <w:tcMar>
              <w:top w:w="100.0" w:type="dxa"/>
              <w:left w:w="100.0" w:type="dxa"/>
              <w:bottom w:w="100.0" w:type="dxa"/>
              <w:right w:w="100.0" w:type="dxa"/>
            </w:tcMar>
            <w:vAlign w:val="top"/>
          </w:tcPr>
          <w:p w:rsidR="00000000" w:rsidDel="00000000" w:rsidP="00000000" w:rsidRDefault="00000000" w:rsidRPr="00000000" w14:paraId="000003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23185920715332" w:lineRule="auto"/>
              <w:ind w:left="116.400146484375" w:right="402.640380859375" w:hanging="0.159912109375"/>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Overexertion during hard testing; clinician clearance advised</w:t>
            </w:r>
          </w:p>
        </w:tc>
      </w:tr>
      <w:tr>
        <w:trPr>
          <w:cantSplit w:val="0"/>
          <w:trHeight w:val="368.0004882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3.760070800781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Fall-prevention program </w:t>
            </w:r>
          </w:p>
        </w:tc>
        <w:tc>
          <w:tcPr>
            <w:shd w:fill="auto" w:val="clear"/>
            <w:tcMar>
              <w:top w:w="100.0" w:type="dxa"/>
              <w:left w:w="100.0" w:type="dxa"/>
              <w:bottom w:w="100.0" w:type="dxa"/>
              <w:right w:w="100.0" w:type="dxa"/>
            </w:tcMar>
            <w:vAlign w:val="top"/>
          </w:tcPr>
          <w:p w:rsidR="00000000" w:rsidDel="00000000" w:rsidP="00000000" w:rsidRDefault="00000000" w:rsidRPr="00000000" w14:paraId="000003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23999023437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Avoid falls that injure the brain </w:t>
            </w:r>
          </w:p>
        </w:tc>
        <w:tc>
          <w:tcPr>
            <w:shd w:fill="auto" w:val="clear"/>
            <w:tcMar>
              <w:top w:w="100.0" w:type="dxa"/>
              <w:left w:w="100.0" w:type="dxa"/>
              <w:bottom w:w="100.0" w:type="dxa"/>
              <w:right w:w="100.0" w:type="dxa"/>
            </w:tcMar>
            <w:vAlign w:val="top"/>
          </w:tcPr>
          <w:p w:rsidR="00000000" w:rsidDel="00000000" w:rsidP="00000000" w:rsidRDefault="00000000" w:rsidRPr="00000000" w14:paraId="000003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68029785156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Minor strains during training</w:t>
            </w:r>
          </w:p>
        </w:tc>
      </w:tr>
      <w:tr>
        <w:trPr>
          <w:cantSplit w:val="0"/>
          <w:trHeight w:val="367.99926757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31994628906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Helmets and head protection </w:t>
            </w:r>
          </w:p>
        </w:tc>
        <w:tc>
          <w:tcPr>
            <w:shd w:fill="auto" w:val="clear"/>
            <w:tcMar>
              <w:top w:w="100.0" w:type="dxa"/>
              <w:left w:w="100.0" w:type="dxa"/>
              <w:bottom w:w="100.0" w:type="dxa"/>
              <w:right w:w="100.0" w:type="dxa"/>
            </w:tcMar>
            <w:vAlign w:val="top"/>
          </w:tcPr>
          <w:p w:rsidR="00000000" w:rsidDel="00000000" w:rsidP="00000000" w:rsidRDefault="00000000" w:rsidRPr="00000000" w14:paraId="000003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3.760070800781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Prevent traumatic brain injury </w:t>
            </w:r>
          </w:p>
        </w:tc>
        <w:tc>
          <w:tcPr>
            <w:shd w:fill="auto" w:val="clear"/>
            <w:tcMar>
              <w:top w:w="100.0" w:type="dxa"/>
              <w:left w:w="100.0" w:type="dxa"/>
              <w:bottom w:w="100.0" w:type="dxa"/>
              <w:right w:w="100.0" w:type="dxa"/>
            </w:tcMar>
            <w:vAlign w:val="top"/>
          </w:tcPr>
          <w:p w:rsidR="00000000" w:rsidDel="00000000" w:rsidP="00000000" w:rsidRDefault="00000000" w:rsidRPr="00000000" w14:paraId="000003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160034179687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None known</w:t>
            </w:r>
          </w:p>
        </w:tc>
      </w:tr>
      <w:tr>
        <w:trPr>
          <w:cantSplit w:val="0"/>
          <w:trHeight w:val="576.00036621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7.83996582031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Sleeping 7-9 hours a night </w:t>
            </w:r>
          </w:p>
        </w:tc>
        <w:tc>
          <w:tcPr>
            <w:shd w:fill="auto" w:val="clear"/>
            <w:tcMar>
              <w:top w:w="100.0" w:type="dxa"/>
              <w:left w:w="100.0" w:type="dxa"/>
              <w:bottom w:w="100.0" w:type="dxa"/>
              <w:right w:w="100.0" w:type="dxa"/>
            </w:tcMar>
            <w:vAlign w:val="top"/>
          </w:tcPr>
          <w:p w:rsidR="00000000" w:rsidDel="00000000" w:rsidP="00000000" w:rsidRDefault="00000000" w:rsidRPr="00000000" w14:paraId="000003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23185920715332" w:lineRule="auto"/>
              <w:ind w:left="116.400146484375" w:right="178.641357421875" w:firstLine="1.2799072265625"/>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Give the brain nightly recovery time via the glymphatic clearance system</w:t>
            </w:r>
          </w:p>
        </w:tc>
        <w:tc>
          <w:tcPr>
            <w:shd w:fill="auto" w:val="clear"/>
            <w:tcMar>
              <w:top w:w="100.0" w:type="dxa"/>
              <w:left w:w="100.0" w:type="dxa"/>
              <w:bottom w:w="100.0" w:type="dxa"/>
              <w:right w:w="100.0" w:type="dxa"/>
            </w:tcMar>
            <w:vAlign w:val="top"/>
          </w:tcPr>
          <w:p w:rsidR="00000000" w:rsidDel="00000000" w:rsidP="00000000" w:rsidRDefault="00000000" w:rsidRPr="00000000" w14:paraId="000003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160034179687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None known; treat suspected sleep apnea</w:t>
            </w:r>
          </w:p>
        </w:tc>
      </w:tr>
      <w:tr>
        <w:trPr>
          <w:cantSplit w:val="0"/>
          <w:trHeight w:val="575.99975585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31994628906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Hearing and vision correction </w:t>
            </w:r>
          </w:p>
        </w:tc>
        <w:tc>
          <w:tcPr>
            <w:shd w:fill="auto" w:val="clear"/>
            <w:tcMar>
              <w:top w:w="100.0" w:type="dxa"/>
              <w:left w:w="100.0" w:type="dxa"/>
              <w:bottom w:w="100.0" w:type="dxa"/>
              <w:right w:w="100.0" w:type="dxa"/>
            </w:tcMar>
            <w:vAlign w:val="top"/>
          </w:tcPr>
          <w:p w:rsidR="00000000" w:rsidDel="00000000" w:rsidP="00000000" w:rsidRDefault="00000000" w:rsidRPr="00000000" w14:paraId="000003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23185920715332" w:lineRule="auto"/>
              <w:ind w:left="122.3199462890625" w:right="151.7608642578125" w:firstLine="1.75994873046875"/>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Reduce two of the largest single modifiable risk factors</w:t>
            </w:r>
          </w:p>
        </w:tc>
        <w:tc>
          <w:tcPr>
            <w:shd w:fill="auto" w:val="clear"/>
            <w:tcMar>
              <w:top w:w="100.0" w:type="dxa"/>
              <w:left w:w="100.0" w:type="dxa"/>
              <w:bottom w:w="100.0" w:type="dxa"/>
              <w:right w:w="100.0" w:type="dxa"/>
            </w:tcMar>
            <w:vAlign w:val="top"/>
          </w:tcPr>
          <w:p w:rsidR="00000000" w:rsidDel="00000000" w:rsidP="00000000" w:rsidRDefault="00000000" w:rsidRPr="00000000" w14:paraId="000003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23185920715332" w:lineRule="auto"/>
              <w:ind w:left="120.3997802734375" w:right="189.04052734375" w:hanging="3.3599853515625"/>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Cost of devices; ACHIEVE trial found benefit mainly in higher-risk subgroups</w:t>
            </w:r>
          </w:p>
        </w:tc>
      </w:tr>
      <w:tr>
        <w:trPr>
          <w:cantSplit w:val="0"/>
          <w:trHeight w:val="576.00036621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7.03994750976562"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Cognitive training </w:t>
            </w:r>
          </w:p>
        </w:tc>
        <w:tc>
          <w:tcPr>
            <w:shd w:fill="auto" w:val="clear"/>
            <w:tcMar>
              <w:top w:w="100.0" w:type="dxa"/>
              <w:left w:w="100.0" w:type="dxa"/>
              <w:bottom w:w="100.0" w:type="dxa"/>
              <w:right w:w="100.0" w:type="dxa"/>
            </w:tcMar>
            <w:vAlign w:val="top"/>
          </w:tcPr>
          <w:p w:rsidR="00000000" w:rsidDel="00000000" w:rsidP="00000000" w:rsidRDefault="00000000" w:rsidRPr="00000000" w14:paraId="000003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839904785156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Build and maintain trained mental skills </w:t>
            </w:r>
          </w:p>
        </w:tc>
        <w:tc>
          <w:tcPr>
            <w:shd w:fill="auto" w:val="clear"/>
            <w:tcMar>
              <w:top w:w="100.0" w:type="dxa"/>
              <w:left w:w="100.0" w:type="dxa"/>
              <w:bottom w:w="100.0" w:type="dxa"/>
              <w:right w:w="100.0" w:type="dxa"/>
            </w:tcMar>
            <w:vAlign w:val="top"/>
          </w:tcPr>
          <w:p w:rsidR="00000000" w:rsidDel="00000000" w:rsidP="00000000" w:rsidRDefault="00000000" w:rsidRPr="00000000" w14:paraId="000003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23185920715332" w:lineRule="auto"/>
              <w:ind w:left="120.3997802734375" w:right="162.48046875" w:hanging="2.7197265625"/>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Gains are mostly confined to the trained skill, not general intelligence</w:t>
            </w:r>
          </w:p>
        </w:tc>
      </w:tr>
      <w:tr>
        <w:trPr>
          <w:cantSplit w:val="0"/>
          <w:trHeight w:val="575.99975585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7.83996582031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Social engagement </w:t>
            </w:r>
          </w:p>
        </w:tc>
        <w:tc>
          <w:tcPr>
            <w:shd w:fill="auto" w:val="clear"/>
            <w:tcMar>
              <w:top w:w="100.0" w:type="dxa"/>
              <w:left w:w="100.0" w:type="dxa"/>
              <w:bottom w:w="100.0" w:type="dxa"/>
              <w:right w:w="100.0" w:type="dxa"/>
            </w:tcMar>
            <w:vAlign w:val="top"/>
          </w:tcPr>
          <w:p w:rsidR="00000000" w:rsidDel="00000000" w:rsidP="00000000" w:rsidRDefault="00000000" w:rsidRPr="00000000" w14:paraId="000003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23185920715332" w:lineRule="auto"/>
              <w:ind w:left="123.76007080078125" w:right="142.8009033203125" w:hanging="6.719970703125"/>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Counter isolation, RR 1.6 and 5% weighted PAF</w:t>
            </w:r>
          </w:p>
        </w:tc>
        <w:tc>
          <w:tcPr>
            <w:shd w:fill="auto" w:val="clear"/>
            <w:tcMar>
              <w:top w:w="100.0" w:type="dxa"/>
              <w:left w:w="100.0" w:type="dxa"/>
              <w:bottom w:w="100.0" w:type="dxa"/>
              <w:right w:w="100.0" w:type="dxa"/>
            </w:tcMar>
            <w:vAlign w:val="top"/>
          </w:tcPr>
          <w:p w:rsidR="00000000" w:rsidDel="00000000" w:rsidP="00000000" w:rsidRDefault="00000000" w:rsidRPr="00000000" w14:paraId="000003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160034179687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None known</w:t>
            </w:r>
          </w:p>
        </w:tc>
      </w:tr>
      <w:tr>
        <w:trPr>
          <w:cantSplit w:val="0"/>
          <w:trHeight w:val="576.0000610351562"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96005249023438"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Depression treatment </w:t>
            </w:r>
          </w:p>
        </w:tc>
        <w:tc>
          <w:tcPr>
            <w:shd w:fill="auto" w:val="clear"/>
            <w:tcMar>
              <w:top w:w="100.0" w:type="dxa"/>
              <w:left w:w="100.0" w:type="dxa"/>
              <w:bottom w:w="100.0" w:type="dxa"/>
              <w:right w:w="100.0" w:type="dxa"/>
            </w:tcMar>
            <w:vAlign w:val="top"/>
          </w:tcPr>
          <w:p w:rsidR="00000000" w:rsidDel="00000000" w:rsidP="00000000" w:rsidRDefault="00000000" w:rsidRPr="00000000" w14:paraId="000003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23220252990723" w:lineRule="auto"/>
              <w:ind w:left="112.239990234375" w:right="471.92138671875"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Address the single highest relative risk factor (2.2)</w:t>
            </w:r>
          </w:p>
        </w:tc>
        <w:tc>
          <w:tcPr>
            <w:shd w:fill="auto" w:val="clear"/>
            <w:tcMar>
              <w:top w:w="100.0" w:type="dxa"/>
              <w:left w:w="100.0" w:type="dxa"/>
              <w:bottom w:w="100.0" w:type="dxa"/>
              <w:right w:w="100.0" w:type="dxa"/>
            </w:tcMar>
            <w:vAlign w:val="top"/>
          </w:tcPr>
          <w:p w:rsidR="00000000" w:rsidDel="00000000" w:rsidP="00000000" w:rsidRDefault="00000000" w:rsidRPr="00000000" w14:paraId="000003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4.08020019531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Requires clinical evaluation</w:t>
            </w:r>
          </w:p>
        </w:tc>
      </w:tr>
    </w:tbl>
    <w:p w:rsidR="00000000" w:rsidDel="00000000" w:rsidP="00000000" w:rsidRDefault="00000000" w:rsidRPr="00000000" w14:paraId="000003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1.6400146484375" w:right="0" w:firstLine="0"/>
        <w:jc w:val="left"/>
        <w:rPr>
          <w:rFonts w:ascii="Arial" w:cs="Arial" w:eastAsia="Arial" w:hAnsi="Arial"/>
          <w:b w:val="1"/>
          <w:bCs w:val="1"/>
          <w:i w:val="0"/>
          <w:iCs w:val="0"/>
          <w:smallCaps w:val="0"/>
          <w:strike w:val="0"/>
          <w:color w:val="0f6b5c"/>
          <w:sz w:val="26"/>
          <w:szCs w:val="26"/>
          <w:u w:val="none"/>
          <w:shd w:fill="auto" w:val="clear"/>
          <w:vertAlign w:val="baseline"/>
        </w:rPr>
      </w:pPr>
      <w:r w:rsidDel="00000000" w:rsidR="00000000" w:rsidRPr="00000000">
        <w:rPr>
          <w:rFonts w:ascii="Arial" w:cs="Arial" w:eastAsia="Arial" w:hAnsi="Arial"/>
          <w:b w:val="1"/>
          <w:bCs w:val="1"/>
          <w:i w:val="0"/>
          <w:iCs w:val="0"/>
          <w:smallCaps w:val="0"/>
          <w:strike w:val="0"/>
          <w:color w:val="0f6b5c"/>
          <w:sz w:val="26"/>
          <w:szCs w:val="26"/>
          <w:u w:val="none"/>
          <w:shd w:fill="auto" w:val="clear"/>
          <w:vertAlign w:val="baseline"/>
          <w:rtl w:val="0"/>
        </w:rPr>
        <w:t xml:space="preserve">Table 2: Metabolic and Vascular Interventions </w:t>
      </w:r>
    </w:p>
    <w:tbl>
      <w:tblPr>
        <w:tblStyle w:val="Table28"/>
        <w:tblW w:w="9648.000183105469" w:type="dxa"/>
        <w:jc w:val="left"/>
        <w:tblInd w:w="144.00009155273438"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67.9998779296875"/>
        <w:gridCol w:w="3456.0000610351562"/>
        <w:gridCol w:w="3024.000244140625"/>
        <w:tblGridChange w:id="0">
          <w:tblGrid>
            <w:gridCol w:w="3167.9998779296875"/>
            <w:gridCol w:w="3456.0000610351562"/>
            <w:gridCol w:w="3024.000244140625"/>
          </w:tblGrid>
        </w:tblGridChange>
      </w:tblGrid>
      <w:tr>
        <w:trPr>
          <w:cantSplit w:val="0"/>
          <w:trHeight w:val="368.0004882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0.62393188476562" w:right="0" w:firstLine="0"/>
              <w:jc w:val="left"/>
              <w:rPr>
                <w:rFonts w:ascii="Arial" w:cs="Arial" w:eastAsia="Arial" w:hAnsi="Arial"/>
                <w:b w:val="1"/>
                <w:bCs w:val="1"/>
                <w:i w:val="0"/>
                <w:iCs w:val="0"/>
                <w:smallCaps w:val="0"/>
                <w:strike w:val="0"/>
                <w:sz w:val="16.600000381469727"/>
                <w:szCs w:val="16.600000381469727"/>
                <w:u w:val="none"/>
                <w:shd w:fill="auto" w:val="clear"/>
                <w:vertAlign w:val="baseline"/>
              </w:rPr>
            </w:pPr>
            <w:r w:rsidDel="00000000" w:rsidR="00000000" w:rsidRPr="00000000">
              <w:rPr>
                <w:rFonts w:ascii="Arial" w:cs="Arial" w:eastAsia="Arial" w:hAnsi="Arial"/>
                <w:b w:val="1"/>
                <w:bCs w:val="1"/>
                <w:i w:val="0"/>
                <w:iCs w:val="0"/>
                <w:smallCaps w:val="0"/>
                <w:strike w:val="0"/>
                <w:sz w:val="16.600000381469727"/>
                <w:szCs w:val="16.600000381469727"/>
                <w:u w:val="none"/>
                <w:shd w:fill="auto" w:val="clear"/>
                <w:vertAlign w:val="baseline"/>
                <w:rtl w:val="0"/>
              </w:rPr>
              <w:t xml:space="preserve">Intervention </w:t>
            </w:r>
          </w:p>
        </w:tc>
        <w:tc>
          <w:tcPr>
            <w:shd w:fill="auto" w:val="clear"/>
            <w:tcMar>
              <w:top w:w="100.0" w:type="dxa"/>
              <w:left w:w="100.0" w:type="dxa"/>
              <w:bottom w:w="100.0" w:type="dxa"/>
              <w:right w:w="100.0" w:type="dxa"/>
            </w:tcMar>
            <w:vAlign w:val="top"/>
          </w:tcPr>
          <w:p w:rsidR="00000000" w:rsidDel="00000000" w:rsidP="00000000" w:rsidRDefault="00000000" w:rsidRPr="00000000" w14:paraId="000003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615966796875" w:right="0" w:firstLine="0"/>
              <w:jc w:val="left"/>
              <w:rPr>
                <w:rFonts w:ascii="Arial" w:cs="Arial" w:eastAsia="Arial" w:hAnsi="Arial"/>
                <w:b w:val="1"/>
                <w:bCs w:val="1"/>
                <w:i w:val="0"/>
                <w:iCs w:val="0"/>
                <w:smallCaps w:val="0"/>
                <w:strike w:val="0"/>
                <w:sz w:val="16.600000381469727"/>
                <w:szCs w:val="16.600000381469727"/>
                <w:u w:val="none"/>
                <w:shd w:fill="auto" w:val="clear"/>
                <w:vertAlign w:val="baseline"/>
              </w:rPr>
            </w:pPr>
            <w:r w:rsidDel="00000000" w:rsidR="00000000" w:rsidRPr="00000000">
              <w:rPr>
                <w:rFonts w:ascii="Arial" w:cs="Arial" w:eastAsia="Arial" w:hAnsi="Arial"/>
                <w:b w:val="1"/>
                <w:bCs w:val="1"/>
                <w:i w:val="0"/>
                <w:iCs w:val="0"/>
                <w:smallCaps w:val="0"/>
                <w:strike w:val="0"/>
                <w:sz w:val="16.600000381469727"/>
                <w:szCs w:val="16.600000381469727"/>
                <w:u w:val="none"/>
                <w:shd w:fill="auto" w:val="clear"/>
                <w:vertAlign w:val="baseline"/>
                <w:rtl w:val="0"/>
              </w:rPr>
              <w:t xml:space="preserve">Purpose </w:t>
            </w:r>
          </w:p>
        </w:tc>
        <w:tc>
          <w:tcPr>
            <w:shd w:fill="auto" w:val="clear"/>
            <w:tcMar>
              <w:top w:w="100.0" w:type="dxa"/>
              <w:left w:w="100.0" w:type="dxa"/>
              <w:bottom w:w="100.0" w:type="dxa"/>
              <w:right w:w="100.0" w:type="dxa"/>
            </w:tcMar>
            <w:vAlign w:val="top"/>
          </w:tcPr>
          <w:p w:rsidR="00000000" w:rsidDel="00000000" w:rsidP="00000000" w:rsidRDefault="00000000" w:rsidRPr="00000000" w14:paraId="000003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615966796875" w:right="0" w:firstLine="0"/>
              <w:jc w:val="left"/>
              <w:rPr>
                <w:rFonts w:ascii="Arial" w:cs="Arial" w:eastAsia="Arial" w:hAnsi="Arial"/>
                <w:b w:val="1"/>
                <w:bCs w:val="1"/>
                <w:i w:val="0"/>
                <w:iCs w:val="0"/>
                <w:smallCaps w:val="0"/>
                <w:strike w:val="0"/>
                <w:sz w:val="16.600000381469727"/>
                <w:szCs w:val="16.600000381469727"/>
                <w:u w:val="none"/>
                <w:shd w:fill="auto" w:val="clear"/>
                <w:vertAlign w:val="baseline"/>
              </w:rPr>
            </w:pPr>
            <w:r w:rsidDel="00000000" w:rsidR="00000000" w:rsidRPr="00000000">
              <w:rPr>
                <w:rFonts w:ascii="Arial" w:cs="Arial" w:eastAsia="Arial" w:hAnsi="Arial"/>
                <w:b w:val="1"/>
                <w:bCs w:val="1"/>
                <w:i w:val="0"/>
                <w:iCs w:val="0"/>
                <w:smallCaps w:val="0"/>
                <w:strike w:val="0"/>
                <w:sz w:val="16.600000381469727"/>
                <w:szCs w:val="16.600000381469727"/>
                <w:u w:val="none"/>
                <w:shd w:fill="auto" w:val="clear"/>
                <w:vertAlign w:val="baseline"/>
                <w:rtl w:val="0"/>
              </w:rPr>
              <w:t xml:space="preserve">Evidence strength</w:t>
            </w:r>
          </w:p>
        </w:tc>
      </w:tr>
      <w:tr>
        <w:trPr>
          <w:cantSplit w:val="0"/>
          <w:trHeight w:val="575.99975585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231201171875" w:lineRule="auto"/>
              <w:ind w:left="120.39993286132812" w:right="274.48028564453125" w:hanging="2.559967041015625"/>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Systolic blood pressure at or under 130 mm Hg</w:t>
            </w:r>
          </w:p>
        </w:tc>
        <w:tc>
          <w:tcPr>
            <w:shd w:fill="auto" w:val="clear"/>
            <w:tcMar>
              <w:top w:w="100.0" w:type="dxa"/>
              <w:left w:w="100.0" w:type="dxa"/>
              <w:bottom w:w="100.0" w:type="dxa"/>
              <w:right w:w="100.0" w:type="dxa"/>
            </w:tcMar>
            <w:vAlign w:val="top"/>
          </w:tcPr>
          <w:p w:rsidR="00000000" w:rsidDel="00000000" w:rsidP="00000000" w:rsidRDefault="00000000" w:rsidRPr="00000000" w14:paraId="000003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4.079895019531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Reduce small-vessel brain damage </w:t>
            </w:r>
          </w:p>
        </w:tc>
        <w:tc>
          <w:tcPr>
            <w:shd w:fill="auto" w:val="clear"/>
            <w:tcMar>
              <w:top w:w="100.0" w:type="dxa"/>
              <w:left w:w="100.0" w:type="dxa"/>
              <w:bottom w:w="100.0" w:type="dxa"/>
              <w:right w:w="100.0" w:type="dxa"/>
            </w:tcMar>
            <w:vAlign w:val="top"/>
          </w:tcPr>
          <w:p w:rsidR="00000000" w:rsidDel="00000000" w:rsidP="00000000" w:rsidRDefault="00000000" w:rsidRPr="00000000" w14:paraId="000003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7.83996582031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Strong (RCT, Class 1 guideline)</w:t>
            </w:r>
          </w:p>
        </w:tc>
      </w:tr>
      <w:tr>
        <w:trPr>
          <w:cantSplit w:val="0"/>
          <w:trHeight w:val="784.00024414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6.159973144531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12-hour overnight fast </w:t>
            </w:r>
          </w:p>
        </w:tc>
        <w:tc>
          <w:tcPr>
            <w:shd w:fill="auto" w:val="clear"/>
            <w:tcMar>
              <w:top w:w="100.0" w:type="dxa"/>
              <w:left w:w="100.0" w:type="dxa"/>
              <w:bottom w:w="100.0" w:type="dxa"/>
              <w:right w:w="100.0" w:type="dxa"/>
            </w:tcMar>
            <w:vAlign w:val="top"/>
          </w:tcPr>
          <w:p w:rsidR="00000000" w:rsidDel="00000000" w:rsidP="00000000" w:rsidRDefault="00000000" w:rsidRPr="00000000" w14:paraId="000003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231201171875" w:lineRule="auto"/>
              <w:ind w:left="115.11993408203125" w:right="580.72021484375" w:firstLine="9.44000244140625"/>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Improve metabolic flexibility and insulin sensitivity</w:t>
            </w:r>
          </w:p>
        </w:tc>
        <w:tc>
          <w:tcPr>
            <w:shd w:fill="auto" w:val="clear"/>
            <w:tcMar>
              <w:top w:w="100.0" w:type="dxa"/>
              <w:left w:w="100.0" w:type="dxa"/>
              <w:bottom w:w="100.0" w:type="dxa"/>
              <w:right w:w="100.0" w:type="dxa"/>
            </w:tcMar>
            <w:vAlign w:val="top"/>
          </w:tcPr>
          <w:p w:rsidR="00000000" w:rsidDel="00000000" w:rsidP="00000000" w:rsidRDefault="00000000" w:rsidRPr="00000000" w14:paraId="000003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1.0192060470581" w:lineRule="auto"/>
              <w:ind w:left="112.239990234375" w:right="468.880615234375" w:firstLine="5.5999755859375"/>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Strong (controlled trials) for timing; weaker for cognitive outcomes </w:t>
            </w:r>
          </w:p>
          <w:p w:rsidR="00000000" w:rsidDel="00000000" w:rsidP="00000000" w:rsidRDefault="00000000" w:rsidRPr="00000000" w14:paraId="000003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67529296875" w:line="240" w:lineRule="auto"/>
              <w:ind w:left="115.12023925781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specifically</w:t>
            </w:r>
          </w:p>
        </w:tc>
      </w:tr>
      <w:tr>
        <w:trPr>
          <w:cantSplit w:val="0"/>
          <w:trHeight w:val="575.99975585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160034179687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KetoFLEX 12/3 food pattern </w:t>
            </w:r>
          </w:p>
        </w:tc>
        <w:tc>
          <w:tcPr>
            <w:shd w:fill="auto" w:val="clear"/>
            <w:tcMar>
              <w:top w:w="100.0" w:type="dxa"/>
              <w:left w:w="100.0" w:type="dxa"/>
              <w:bottom w:w="100.0" w:type="dxa"/>
              <w:right w:w="100.0" w:type="dxa"/>
            </w:tcMar>
            <w:vAlign w:val="top"/>
          </w:tcPr>
          <w:p w:rsidR="00000000" w:rsidDel="00000000" w:rsidP="00000000" w:rsidRDefault="00000000" w:rsidRPr="00000000" w14:paraId="000003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231201171875" w:lineRule="auto"/>
              <w:ind w:left="112.239990234375" w:right="233.680419921875" w:firstLine="9.9200439453125"/>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Lower glycemic load, raise fiber and healthy fat</w:t>
            </w:r>
          </w:p>
        </w:tc>
        <w:tc>
          <w:tcPr>
            <w:shd w:fill="auto" w:val="clear"/>
            <w:tcMar>
              <w:top w:w="100.0" w:type="dxa"/>
              <w:left w:w="100.0" w:type="dxa"/>
              <w:bottom w:w="100.0" w:type="dxa"/>
              <w:right w:w="100.0" w:type="dxa"/>
            </w:tcMar>
            <w:vAlign w:val="top"/>
          </w:tcPr>
          <w:p w:rsidR="00000000" w:rsidDel="00000000" w:rsidP="00000000" w:rsidRDefault="00000000" w:rsidRPr="00000000" w14:paraId="000003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68029785156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Moderate (overlaps with </w:t>
            </w:r>
          </w:p>
          <w:p w:rsidR="00000000" w:rsidDel="00000000" w:rsidP="00000000" w:rsidRDefault="00000000" w:rsidRPr="00000000" w14:paraId="000003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939453125" w:line="240" w:lineRule="auto"/>
              <w:ind w:left="121.68029785156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Mediterranean/MIND evidence)</w:t>
            </w:r>
          </w:p>
        </w:tc>
      </w:tr>
      <w:tr>
        <w:trPr>
          <w:cantSplit w:val="0"/>
          <w:trHeight w:val="367.99926757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55996704101562"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Weight and waist management </w:t>
            </w:r>
          </w:p>
        </w:tc>
        <w:tc>
          <w:tcPr>
            <w:shd w:fill="auto" w:val="clear"/>
            <w:tcMar>
              <w:top w:w="100.0" w:type="dxa"/>
              <w:left w:w="100.0" w:type="dxa"/>
              <w:bottom w:w="100.0" w:type="dxa"/>
              <w:right w:w="100.0" w:type="dxa"/>
            </w:tcMar>
            <w:vAlign w:val="top"/>
          </w:tcPr>
          <w:p w:rsidR="00000000" w:rsidDel="00000000" w:rsidP="00000000" w:rsidRDefault="00000000" w:rsidRPr="00000000" w14:paraId="000003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4.079895019531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Reduce midlife obesity risk (RR 1.3) </w:t>
            </w:r>
          </w:p>
        </w:tc>
        <w:tc>
          <w:tcPr>
            <w:shd w:fill="auto" w:val="clear"/>
            <w:tcMar>
              <w:top w:w="100.0" w:type="dxa"/>
              <w:left w:w="100.0" w:type="dxa"/>
              <w:bottom w:w="100.0" w:type="dxa"/>
              <w:right w:w="100.0" w:type="dxa"/>
            </w:tcMar>
            <w:vAlign w:val="top"/>
          </w:tcPr>
          <w:p w:rsidR="00000000" w:rsidDel="00000000" w:rsidP="00000000" w:rsidRDefault="00000000" w:rsidRPr="00000000" w14:paraId="000003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24023437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Observational (moderate)</w:t>
            </w:r>
          </w:p>
        </w:tc>
      </w:tr>
      <w:tr>
        <w:trPr>
          <w:cantSplit w:val="0"/>
          <w:trHeight w:val="576.000976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96005249023438"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Diabetes screening and control </w:t>
            </w:r>
          </w:p>
        </w:tc>
        <w:tc>
          <w:tcPr>
            <w:shd w:fill="auto" w:val="clear"/>
            <w:tcMar>
              <w:top w:w="100.0" w:type="dxa"/>
              <w:left w:w="100.0" w:type="dxa"/>
              <w:bottom w:w="100.0" w:type="dxa"/>
              <w:right w:w="100.0" w:type="dxa"/>
            </w:tcMar>
            <w:vAlign w:val="top"/>
          </w:tcPr>
          <w:p w:rsidR="00000000" w:rsidDel="00000000" w:rsidP="00000000" w:rsidRDefault="00000000" w:rsidRPr="00000000" w14:paraId="000003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23999023437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Address RR 1.7 for dementia </w:t>
            </w:r>
          </w:p>
        </w:tc>
        <w:tc>
          <w:tcPr>
            <w:shd w:fill="auto" w:val="clear"/>
            <w:tcMar>
              <w:top w:w="100.0" w:type="dxa"/>
              <w:left w:w="100.0" w:type="dxa"/>
              <w:bottom w:w="100.0" w:type="dxa"/>
              <w:right w:w="100.0" w:type="dxa"/>
            </w:tcMar>
            <w:vAlign w:val="top"/>
          </w:tcPr>
          <w:p w:rsidR="00000000" w:rsidDel="00000000" w:rsidP="00000000" w:rsidRDefault="00000000" w:rsidRPr="00000000" w14:paraId="000003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231201171875" w:lineRule="auto"/>
              <w:ind w:left="115.5999755859375" w:right="406.160888671875" w:firstLine="2.239990234375"/>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Strong for general health; mixed for dementia-specific drug prevention</w:t>
            </w:r>
          </w:p>
        </w:tc>
      </w:tr>
      <w:tr>
        <w:trPr>
          <w:cantSplit w:val="0"/>
          <w:trHeight w:val="783.999633789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160034179687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LDL and lipid management </w:t>
            </w:r>
          </w:p>
        </w:tc>
        <w:tc>
          <w:tcPr>
            <w:shd w:fill="auto" w:val="clear"/>
            <w:tcMar>
              <w:top w:w="100.0" w:type="dxa"/>
              <w:left w:w="100.0" w:type="dxa"/>
              <w:bottom w:w="100.0" w:type="dxa"/>
              <w:right w:w="100.0" w:type="dxa"/>
            </w:tcMar>
            <w:vAlign w:val="top"/>
          </w:tcPr>
          <w:p w:rsidR="00000000" w:rsidDel="00000000" w:rsidP="00000000" w:rsidRDefault="00000000" w:rsidRPr="00000000" w14:paraId="000003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23999023437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Address RR 1.3 for high LDL </w:t>
            </w:r>
          </w:p>
        </w:tc>
        <w:tc>
          <w:tcPr>
            <w:shd w:fill="auto" w:val="clear"/>
            <w:tcMar>
              <w:top w:w="100.0" w:type="dxa"/>
              <w:left w:w="100.0" w:type="dxa"/>
              <w:bottom w:w="100.0" w:type="dxa"/>
              <w:right w:w="100.0" w:type="dxa"/>
            </w:tcMar>
            <w:vAlign w:val="top"/>
          </w:tcPr>
          <w:p w:rsidR="00000000" w:rsidDel="00000000" w:rsidP="00000000" w:rsidRDefault="00000000" w:rsidRPr="00000000" w14:paraId="000003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1.01784706115723" w:lineRule="auto"/>
              <w:ind w:left="120.3997802734375" w:right="103.9208984375" w:firstLine="1.280517578125"/>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Moderate (statins: strong observational, negative in RCTs for dementia </w:t>
            </w:r>
          </w:p>
          <w:p w:rsidR="00000000" w:rsidDel="00000000" w:rsidP="00000000" w:rsidRDefault="00000000" w:rsidRPr="00000000" w14:paraId="000003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676513671875" w:line="240" w:lineRule="auto"/>
              <w:ind w:left="115.12023925781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specifically)</w:t>
            </w:r>
          </w:p>
        </w:tc>
      </w:tr>
    </w:tbl>
    <w:p w:rsidR="00000000" w:rsidDel="00000000" w:rsidP="00000000" w:rsidRDefault="00000000" w:rsidRPr="00000000" w14:paraId="000003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1.6400146484375" w:right="0" w:firstLine="0"/>
        <w:jc w:val="left"/>
        <w:rPr>
          <w:rFonts w:ascii="Arial" w:cs="Arial" w:eastAsia="Arial" w:hAnsi="Arial"/>
          <w:b w:val="1"/>
          <w:bCs w:val="1"/>
          <w:i w:val="0"/>
          <w:iCs w:val="0"/>
          <w:smallCaps w:val="0"/>
          <w:strike w:val="0"/>
          <w:color w:val="0f6b5c"/>
          <w:sz w:val="26"/>
          <w:szCs w:val="26"/>
          <w:u w:val="none"/>
          <w:shd w:fill="auto" w:val="clear"/>
          <w:vertAlign w:val="baseline"/>
        </w:rPr>
      </w:pPr>
      <w:r w:rsidDel="00000000" w:rsidR="00000000" w:rsidRPr="00000000">
        <w:rPr>
          <w:rFonts w:ascii="Arial" w:cs="Arial" w:eastAsia="Arial" w:hAnsi="Arial"/>
          <w:b w:val="1"/>
          <w:bCs w:val="1"/>
          <w:i w:val="0"/>
          <w:iCs w:val="0"/>
          <w:smallCaps w:val="0"/>
          <w:strike w:val="0"/>
          <w:color w:val="0f6b5c"/>
          <w:sz w:val="26"/>
          <w:szCs w:val="26"/>
          <w:u w:val="none"/>
          <w:shd w:fill="auto" w:val="clear"/>
          <w:vertAlign w:val="baseline"/>
          <w:rtl w:val="0"/>
        </w:rPr>
        <w:t xml:space="preserve">Table 3: Environmental and Medical Interventions</w:t>
      </w:r>
    </w:p>
    <w:tbl>
      <w:tblPr>
        <w:tblStyle w:val="Table29"/>
        <w:tblW w:w="9648.000183105469" w:type="dxa"/>
        <w:jc w:val="left"/>
        <w:tblInd w:w="144.00009155273438"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67.9998779296875"/>
        <w:gridCol w:w="3600.0003051757812"/>
        <w:gridCol w:w="2880"/>
        <w:tblGridChange w:id="0">
          <w:tblGrid>
            <w:gridCol w:w="3167.9998779296875"/>
            <w:gridCol w:w="3600.0003051757812"/>
            <w:gridCol w:w="2880"/>
          </w:tblGrid>
        </w:tblGridChange>
      </w:tblGrid>
      <w:tr>
        <w:trPr>
          <w:cantSplit w:val="0"/>
          <w:trHeight w:val="368.0004882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0.62393188476562" w:right="0" w:firstLine="0"/>
              <w:jc w:val="left"/>
              <w:rPr>
                <w:rFonts w:ascii="Arial" w:cs="Arial" w:eastAsia="Arial" w:hAnsi="Arial"/>
                <w:b w:val="1"/>
                <w:bCs w:val="1"/>
                <w:i w:val="0"/>
                <w:iCs w:val="0"/>
                <w:smallCaps w:val="0"/>
                <w:strike w:val="0"/>
                <w:sz w:val="16.600000381469727"/>
                <w:szCs w:val="16.600000381469727"/>
                <w:u w:val="none"/>
                <w:shd w:fill="auto" w:val="clear"/>
                <w:vertAlign w:val="baseline"/>
              </w:rPr>
            </w:pPr>
            <w:r w:rsidDel="00000000" w:rsidR="00000000" w:rsidRPr="00000000">
              <w:rPr>
                <w:rFonts w:ascii="Arial" w:cs="Arial" w:eastAsia="Arial" w:hAnsi="Arial"/>
                <w:b w:val="1"/>
                <w:bCs w:val="1"/>
                <w:i w:val="0"/>
                <w:iCs w:val="0"/>
                <w:smallCaps w:val="0"/>
                <w:strike w:val="0"/>
                <w:sz w:val="16.600000381469727"/>
                <w:szCs w:val="16.600000381469727"/>
                <w:u w:val="none"/>
                <w:shd w:fill="auto" w:val="clear"/>
                <w:vertAlign w:val="baseline"/>
                <w:rtl w:val="0"/>
              </w:rPr>
              <w:t xml:space="preserve">Intervention </w:t>
            </w:r>
          </w:p>
        </w:tc>
        <w:tc>
          <w:tcPr>
            <w:shd w:fill="auto" w:val="clear"/>
            <w:tcMar>
              <w:top w:w="100.0" w:type="dxa"/>
              <w:left w:w="100.0" w:type="dxa"/>
              <w:bottom w:w="100.0" w:type="dxa"/>
              <w:right w:w="100.0" w:type="dxa"/>
            </w:tcMar>
            <w:vAlign w:val="top"/>
          </w:tcPr>
          <w:p w:rsidR="00000000" w:rsidDel="00000000" w:rsidP="00000000" w:rsidRDefault="00000000" w:rsidRPr="00000000" w14:paraId="000003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615966796875" w:right="0" w:firstLine="0"/>
              <w:jc w:val="left"/>
              <w:rPr>
                <w:rFonts w:ascii="Arial" w:cs="Arial" w:eastAsia="Arial" w:hAnsi="Arial"/>
                <w:b w:val="1"/>
                <w:bCs w:val="1"/>
                <w:i w:val="0"/>
                <w:iCs w:val="0"/>
                <w:smallCaps w:val="0"/>
                <w:strike w:val="0"/>
                <w:sz w:val="16.600000381469727"/>
                <w:szCs w:val="16.600000381469727"/>
                <w:u w:val="none"/>
                <w:shd w:fill="auto" w:val="clear"/>
                <w:vertAlign w:val="baseline"/>
              </w:rPr>
            </w:pPr>
            <w:r w:rsidDel="00000000" w:rsidR="00000000" w:rsidRPr="00000000">
              <w:rPr>
                <w:rFonts w:ascii="Arial" w:cs="Arial" w:eastAsia="Arial" w:hAnsi="Arial"/>
                <w:b w:val="1"/>
                <w:bCs w:val="1"/>
                <w:i w:val="0"/>
                <w:iCs w:val="0"/>
                <w:smallCaps w:val="0"/>
                <w:strike w:val="0"/>
                <w:sz w:val="16.600000381469727"/>
                <w:szCs w:val="16.600000381469727"/>
                <w:u w:val="none"/>
                <w:shd w:fill="auto" w:val="clear"/>
                <w:vertAlign w:val="baseline"/>
                <w:rtl w:val="0"/>
              </w:rPr>
              <w:t xml:space="preserve">Purpose </w:t>
            </w:r>
          </w:p>
        </w:tc>
        <w:tc>
          <w:tcPr>
            <w:shd w:fill="auto" w:val="clear"/>
            <w:tcMar>
              <w:top w:w="100.0" w:type="dxa"/>
              <w:left w:w="100.0" w:type="dxa"/>
              <w:bottom w:w="100.0" w:type="dxa"/>
              <w:right w:w="100.0" w:type="dxa"/>
            </w:tcMar>
            <w:vAlign w:val="top"/>
          </w:tcPr>
          <w:p w:rsidR="00000000" w:rsidDel="00000000" w:rsidP="00000000" w:rsidRDefault="00000000" w:rsidRPr="00000000" w14:paraId="000003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615966796875" w:right="0" w:firstLine="0"/>
              <w:jc w:val="left"/>
              <w:rPr>
                <w:rFonts w:ascii="Arial" w:cs="Arial" w:eastAsia="Arial" w:hAnsi="Arial"/>
                <w:b w:val="1"/>
                <w:bCs w:val="1"/>
                <w:i w:val="0"/>
                <w:iCs w:val="0"/>
                <w:smallCaps w:val="0"/>
                <w:strike w:val="0"/>
                <w:sz w:val="16.600000381469727"/>
                <w:szCs w:val="16.600000381469727"/>
                <w:u w:val="none"/>
                <w:shd w:fill="auto" w:val="clear"/>
                <w:vertAlign w:val="baseline"/>
              </w:rPr>
            </w:pPr>
            <w:r w:rsidDel="00000000" w:rsidR="00000000" w:rsidRPr="00000000">
              <w:rPr>
                <w:rFonts w:ascii="Arial" w:cs="Arial" w:eastAsia="Arial" w:hAnsi="Arial"/>
                <w:b w:val="1"/>
                <w:bCs w:val="1"/>
                <w:i w:val="0"/>
                <w:iCs w:val="0"/>
                <w:smallCaps w:val="0"/>
                <w:strike w:val="0"/>
                <w:sz w:val="16.600000381469727"/>
                <w:szCs w:val="16.600000381469727"/>
                <w:u w:val="none"/>
                <w:shd w:fill="auto" w:val="clear"/>
                <w:vertAlign w:val="baseline"/>
                <w:rtl w:val="0"/>
              </w:rPr>
              <w:t xml:space="preserve">Evidence strength</w:t>
            </w:r>
          </w:p>
        </w:tc>
      </w:tr>
      <w:tr>
        <w:trPr>
          <w:cantSplit w:val="0"/>
          <w:trHeight w:val="575.99975585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Dental hygiene and periodontal treatment </w:t>
            </w:r>
          </w:p>
        </w:tc>
        <w:tc>
          <w:tcPr>
            <w:shd w:fill="auto" w:val="clear"/>
            <w:tcMar>
              <w:top w:w="100.0" w:type="dxa"/>
              <w:left w:w="100.0" w:type="dxa"/>
              <w:bottom w:w="100.0" w:type="dxa"/>
              <w:right w:w="100.0" w:type="dxa"/>
            </w:tcMar>
            <w:vAlign w:val="top"/>
          </w:tcPr>
          <w:p w:rsidR="00000000" w:rsidDel="00000000" w:rsidP="00000000" w:rsidRDefault="00000000" w:rsidRPr="00000000" w14:paraId="000003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23185920715332" w:lineRule="auto"/>
              <w:ind w:left="120.71990966796875" w:right="671.12060546875" w:firstLine="3.3599853515625"/>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Reduce inflammation linked to cognitive impairment (OR 1.77)</w:t>
            </w:r>
          </w:p>
        </w:tc>
        <w:tc>
          <w:tcPr>
            <w:shd w:fill="auto" w:val="clear"/>
            <w:tcMar>
              <w:top w:w="100.0" w:type="dxa"/>
              <w:left w:w="100.0" w:type="dxa"/>
              <w:bottom w:w="100.0" w:type="dxa"/>
              <w:right w:w="100.0" w:type="dxa"/>
            </w:tcMar>
            <w:vAlign w:val="top"/>
          </w:tcPr>
          <w:p w:rsidR="00000000" w:rsidDel="00000000" w:rsidP="00000000" w:rsidRDefault="00000000" w:rsidRPr="00000000" w14:paraId="000003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23185920715332" w:lineRule="auto"/>
              <w:ind w:left="112.239990234375" w:right="119.920654296875" w:firstLine="9.4403076171875"/>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Moderate observational; no trial proof treatment changes cognition</w:t>
            </w:r>
          </w:p>
        </w:tc>
      </w:tr>
      <w:tr>
        <w:trPr>
          <w:cantSplit w:val="0"/>
          <w:trHeight w:val="575.99975585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84005737304688"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Bedroom HEPA filtration </w:t>
            </w:r>
          </w:p>
        </w:tc>
        <w:tc>
          <w:tcPr>
            <w:shd w:fill="auto" w:val="clear"/>
            <w:tcMar>
              <w:top w:w="100.0" w:type="dxa"/>
              <w:left w:w="100.0" w:type="dxa"/>
              <w:bottom w:w="100.0" w:type="dxa"/>
              <w:right w:w="100.0" w:type="dxa"/>
            </w:tcMar>
            <w:vAlign w:val="top"/>
          </w:tcPr>
          <w:p w:rsidR="00000000" w:rsidDel="00000000" w:rsidP="00000000" w:rsidRDefault="00000000" w:rsidRPr="00000000" w14:paraId="000003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23185920715332" w:lineRule="auto"/>
              <w:ind w:left="123.76007080078125" w:right="128.560791015625" w:firstLine="0.31982421875"/>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Reduce PM2.5 exposure (RR 1.1, 3% weighted PAF)</w:t>
            </w:r>
          </w:p>
        </w:tc>
        <w:tc>
          <w:tcPr>
            <w:shd w:fill="auto" w:val="clear"/>
            <w:tcMar>
              <w:top w:w="100.0" w:type="dxa"/>
              <w:left w:w="100.0" w:type="dxa"/>
              <w:bottom w:w="100.0" w:type="dxa"/>
              <w:right w:w="100.0" w:type="dxa"/>
            </w:tcMar>
            <w:vAlign w:val="top"/>
          </w:tcPr>
          <w:p w:rsidR="00000000" w:rsidDel="00000000" w:rsidP="00000000" w:rsidRDefault="00000000" w:rsidRPr="00000000" w14:paraId="000003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23185920715332" w:lineRule="auto"/>
              <w:ind w:left="112.239990234375" w:right="164.560546875" w:firstLine="0.31982421875"/>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Weak-moderate for dementia; strong for respiratory health</w:t>
            </w:r>
          </w:p>
        </w:tc>
      </w:tr>
      <w:tr>
        <w:trPr>
          <w:cantSplit w:val="0"/>
          <w:trHeight w:val="576.00036621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23999023437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Tap water testing (older plumbing/wells) </w:t>
            </w:r>
          </w:p>
        </w:tc>
        <w:tc>
          <w:tcPr>
            <w:shd w:fill="auto" w:val="clear"/>
            <w:tcMar>
              <w:top w:w="100.0" w:type="dxa"/>
              <w:left w:w="100.0" w:type="dxa"/>
              <w:bottom w:w="100.0" w:type="dxa"/>
              <w:right w:w="100.0" w:type="dxa"/>
            </w:tcMar>
            <w:vAlign w:val="top"/>
          </w:tcPr>
          <w:p w:rsidR="00000000" w:rsidDel="00000000" w:rsidP="00000000" w:rsidRDefault="00000000" w:rsidRPr="00000000" w14:paraId="000003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3.760070800781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Eliminate lead exposure </w:t>
            </w:r>
          </w:p>
        </w:tc>
        <w:tc>
          <w:tcPr>
            <w:shd w:fill="auto" w:val="clear"/>
            <w:tcMar>
              <w:top w:w="100.0" w:type="dxa"/>
              <w:left w:w="100.0" w:type="dxa"/>
              <w:bottom w:w="100.0" w:type="dxa"/>
              <w:right w:w="100.0" w:type="dxa"/>
            </w:tcMar>
            <w:vAlign w:val="top"/>
          </w:tcPr>
          <w:p w:rsidR="00000000" w:rsidDel="00000000" w:rsidP="00000000" w:rsidRDefault="00000000" w:rsidRPr="00000000" w14:paraId="000003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23185920715332" w:lineRule="auto"/>
              <w:ind w:left="115.5999755859375" w:right="306.480712890625" w:firstLine="2.239990234375"/>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Strong for general health; no direct dementia RCT</w:t>
            </w:r>
          </w:p>
        </w:tc>
      </w:tr>
      <w:tr>
        <w:trPr>
          <w:cantSplit w:val="0"/>
          <w:trHeight w:val="575.99975585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160034179687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Limiting high-mercury fish </w:t>
            </w:r>
          </w:p>
        </w:tc>
        <w:tc>
          <w:tcPr>
            <w:shd w:fill="auto" w:val="clear"/>
            <w:tcMar>
              <w:top w:w="100.0" w:type="dxa"/>
              <w:left w:w="100.0" w:type="dxa"/>
              <w:bottom w:w="100.0" w:type="dxa"/>
              <w:right w:w="100.0" w:type="dxa"/>
            </w:tcMar>
            <w:vAlign w:val="top"/>
          </w:tcPr>
          <w:p w:rsidR="00000000" w:rsidDel="00000000" w:rsidP="00000000" w:rsidRDefault="00000000" w:rsidRPr="00000000" w14:paraId="000003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23999023437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Avoid neurotoxin exposure </w:t>
            </w:r>
          </w:p>
        </w:tc>
        <w:tc>
          <w:tcPr>
            <w:shd w:fill="auto" w:val="clear"/>
            <w:tcMar>
              <w:top w:w="100.0" w:type="dxa"/>
              <w:left w:w="100.0" w:type="dxa"/>
              <w:bottom w:w="100.0" w:type="dxa"/>
              <w:right w:w="100.0" w:type="dxa"/>
            </w:tcMar>
            <w:vAlign w:val="top"/>
          </w:tcPr>
          <w:p w:rsidR="00000000" w:rsidDel="00000000" w:rsidP="00000000" w:rsidRDefault="00000000" w:rsidRPr="00000000" w14:paraId="000003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3.7597656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Established general guidance </w:t>
            </w:r>
          </w:p>
          <w:p w:rsidR="00000000" w:rsidDel="00000000" w:rsidP="00000000" w:rsidRDefault="00000000" w:rsidRPr="00000000" w14:paraId="000003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9400634765625" w:line="240" w:lineRule="auto"/>
              <w:ind w:left="120.8801269531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(FDA/EPA)</w:t>
            </w:r>
          </w:p>
        </w:tc>
      </w:tr>
      <w:tr>
        <w:trPr>
          <w:cantSplit w:val="0"/>
          <w:trHeight w:val="576.00036621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23999023437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Adult vaccination (zoster, flu, </w:t>
            </w:r>
          </w:p>
          <w:p w:rsidR="00000000" w:rsidDel="00000000" w:rsidP="00000000" w:rsidRDefault="00000000" w:rsidRPr="00000000" w14:paraId="000003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9400634765625" w:line="240" w:lineRule="auto"/>
              <w:ind w:left="119.27993774414062"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pneumococcal, Tdap)</w:t>
            </w:r>
          </w:p>
        </w:tc>
        <w:tc>
          <w:tcPr>
            <w:shd w:fill="auto" w:val="clear"/>
            <w:tcMar>
              <w:top w:w="100.0" w:type="dxa"/>
              <w:left w:w="100.0" w:type="dxa"/>
              <w:bottom w:w="100.0" w:type="dxa"/>
              <w:right w:w="100.0" w:type="dxa"/>
            </w:tcMar>
            <w:vAlign w:val="top"/>
          </w:tcPr>
          <w:p w:rsidR="00000000" w:rsidDel="00000000" w:rsidP="00000000" w:rsidRDefault="00000000" w:rsidRPr="00000000" w14:paraId="000003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23185920715332" w:lineRule="auto"/>
              <w:ind w:left="120.71990966796875" w:right="440.240478515625" w:hanging="8.47991943359375"/>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Associated with lower dementia risk across large meta-analyses</w:t>
            </w:r>
          </w:p>
        </w:tc>
        <w:tc>
          <w:tcPr>
            <w:shd w:fill="auto" w:val="clear"/>
            <w:tcMar>
              <w:top w:w="100.0" w:type="dxa"/>
              <w:left w:w="100.0" w:type="dxa"/>
              <w:bottom w:w="100.0" w:type="dxa"/>
              <w:right w:w="100.0" w:type="dxa"/>
            </w:tcMar>
            <w:vAlign w:val="top"/>
          </w:tcPr>
          <w:p w:rsidR="00000000" w:rsidDel="00000000" w:rsidP="00000000" w:rsidRDefault="00000000" w:rsidRPr="00000000" w14:paraId="000003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23185920715332" w:lineRule="auto"/>
              <w:ind w:left="120.72021484375" w:right="555.760498046875" w:firstLine="0.9600830078125"/>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Moderate-strong observational, including natural experiments</w:t>
            </w:r>
          </w:p>
        </w:tc>
      </w:tr>
      <w:tr>
        <w:trPr>
          <w:cantSplit w:val="0"/>
          <w:trHeight w:val="575.99975585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23185920715332" w:lineRule="auto"/>
              <w:ind w:left="112.239990234375" w:right="488.08013916015625" w:firstLine="5.4400634765625"/>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Gut-supportive diet (fiber, fermented foods)</w:t>
            </w:r>
          </w:p>
        </w:tc>
        <w:tc>
          <w:tcPr>
            <w:shd w:fill="auto" w:val="clear"/>
            <w:tcMar>
              <w:top w:w="100.0" w:type="dxa"/>
              <w:left w:w="100.0" w:type="dxa"/>
              <w:bottom w:w="100.0" w:type="dxa"/>
              <w:right w:w="100.0" w:type="dxa"/>
            </w:tcMar>
            <w:vAlign w:val="top"/>
          </w:tcPr>
          <w:p w:rsidR="00000000" w:rsidDel="00000000" w:rsidP="00000000" w:rsidRDefault="00000000" w:rsidRPr="00000000" w14:paraId="000003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7.83996582031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Support gut-brain axis health </w:t>
            </w:r>
          </w:p>
        </w:tc>
        <w:tc>
          <w:tcPr>
            <w:shd w:fill="auto" w:val="clear"/>
            <w:tcMar>
              <w:top w:w="100.0" w:type="dxa"/>
              <w:left w:w="100.0" w:type="dxa"/>
              <w:bottom w:w="100.0" w:type="dxa"/>
              <w:right w:w="100.0" w:type="dxa"/>
            </w:tcMar>
            <w:vAlign w:val="top"/>
          </w:tcPr>
          <w:p w:rsidR="00000000" w:rsidDel="00000000" w:rsidP="00000000" w:rsidRDefault="00000000" w:rsidRPr="00000000" w14:paraId="000003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3.7597656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Emerging/preliminary</w:t>
            </w:r>
          </w:p>
        </w:tc>
      </w:tr>
    </w:tbl>
    <w:p w:rsidR="00000000" w:rsidDel="00000000" w:rsidP="00000000" w:rsidRDefault="00000000" w:rsidRPr="00000000" w14:paraId="000003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1.25999450683594" w:right="0" w:firstLine="0"/>
        <w:jc w:val="left"/>
        <w:rPr>
          <w:rFonts w:ascii="Arial" w:cs="Arial" w:eastAsia="Arial" w:hAnsi="Arial"/>
          <w:b w:val="1"/>
          <w:bCs w:val="1"/>
          <w:i w:val="0"/>
          <w:iCs w:val="0"/>
          <w:smallCaps w:val="0"/>
          <w:strike w:val="0"/>
          <w:color w:val="1b3a4b"/>
          <w:sz w:val="34"/>
          <w:szCs w:val="34"/>
          <w:u w:val="none"/>
          <w:shd w:fill="auto" w:val="clear"/>
          <w:vertAlign w:val="baseline"/>
        </w:rPr>
      </w:pPr>
      <w:r w:rsidDel="00000000" w:rsidR="00000000" w:rsidRPr="00000000">
        <w:rPr>
          <w:rFonts w:ascii="Arial" w:cs="Arial" w:eastAsia="Arial" w:hAnsi="Arial"/>
          <w:b w:val="1"/>
          <w:bCs w:val="1"/>
          <w:i w:val="0"/>
          <w:iCs w:val="0"/>
          <w:smallCaps w:val="0"/>
          <w:strike w:val="0"/>
          <w:color w:val="1b3a4b"/>
          <w:sz w:val="34"/>
          <w:szCs w:val="34"/>
          <w:u w:val="none"/>
          <w:shd w:fill="auto" w:val="clear"/>
          <w:vertAlign w:val="baseline"/>
          <w:rtl w:val="0"/>
        </w:rPr>
        <w:t xml:space="preserve">Section 11: Sources and Further Reading </w:t>
      </w:r>
    </w:p>
    <w:p w:rsidR="00000000" w:rsidDel="00000000" w:rsidP="00000000" w:rsidRDefault="00000000" w:rsidRPr="00000000" w14:paraId="000003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3.22021484375" w:line="289.88402366638184" w:lineRule="auto"/>
        <w:ind w:left="65" w:right="284.202880859375" w:firstLine="10.200042724609375"/>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Every link below has been checked and points to the live, canonical page for that source rather than a fragile deep-link that may break.</w:t>
      </w:r>
    </w:p>
    <w:tbl>
      <w:tblPr>
        <w:tblStyle w:val="Table30"/>
        <w:tblW w:w="9648.000183105469" w:type="dxa"/>
        <w:jc w:val="left"/>
        <w:tblInd w:w="144.00009155273438"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463.999938964844"/>
        <w:gridCol w:w="5184.000244140625"/>
        <w:tblGridChange w:id="0">
          <w:tblGrid>
            <w:gridCol w:w="4463.999938964844"/>
            <w:gridCol w:w="5184.000244140625"/>
          </w:tblGrid>
        </w:tblGridChange>
      </w:tblGrid>
      <w:tr>
        <w:trPr>
          <w:cantSplit w:val="0"/>
          <w:trHeight w:val="40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7.79998779296875" w:right="0" w:firstLine="0"/>
              <w:jc w:val="left"/>
              <w:rPr>
                <w:rFonts w:ascii="Arial" w:cs="Arial" w:eastAsia="Arial" w:hAnsi="Arial"/>
                <w:b w:val="1"/>
                <w:bCs w:val="1"/>
                <w:i w:val="0"/>
                <w:iCs w:val="0"/>
                <w:smallCaps w:val="0"/>
                <w:strike w:val="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sz w:val="20"/>
                <w:szCs w:val="20"/>
                <w:u w:val="none"/>
                <w:shd w:fill="auto" w:val="clear"/>
                <w:vertAlign w:val="baseline"/>
                <w:rtl w:val="0"/>
              </w:rPr>
              <w:t xml:space="preserve">Source </w:t>
            </w:r>
          </w:p>
        </w:tc>
        <w:tc>
          <w:tcPr>
            <w:shd w:fill="auto" w:val="clear"/>
            <w:tcMar>
              <w:top w:w="100.0" w:type="dxa"/>
              <w:left w:w="100.0" w:type="dxa"/>
              <w:bottom w:w="100.0" w:type="dxa"/>
              <w:right w:w="100.0" w:type="dxa"/>
            </w:tcMar>
            <w:vAlign w:val="top"/>
          </w:tcPr>
          <w:p w:rsidR="00000000" w:rsidDel="00000000" w:rsidP="00000000" w:rsidRDefault="00000000" w:rsidRPr="00000000" w14:paraId="000003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5.2001953125" w:right="0" w:firstLine="0"/>
              <w:jc w:val="left"/>
              <w:rPr>
                <w:rFonts w:ascii="Arial" w:cs="Arial" w:eastAsia="Arial" w:hAnsi="Arial"/>
                <w:b w:val="1"/>
                <w:bCs w:val="1"/>
                <w:i w:val="0"/>
                <w:iCs w:val="0"/>
                <w:smallCaps w:val="0"/>
                <w:strike w:val="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sz w:val="20"/>
                <w:szCs w:val="20"/>
                <w:u w:val="none"/>
                <w:shd w:fill="auto" w:val="clear"/>
                <w:vertAlign w:val="baseline"/>
                <w:rtl w:val="0"/>
              </w:rPr>
              <w:t xml:space="preserve">Link</w:t>
            </w:r>
          </w:p>
        </w:tc>
      </w:tr>
      <w:tr>
        <w:trPr>
          <w:cantSplit w:val="0"/>
          <w:trHeight w:val="58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5.4533290863037" w:lineRule="auto"/>
              <w:ind w:left="124.5599365234375" w:right="743.6004638671875" w:hanging="10.399932861328125"/>
              <w:jc w:val="left"/>
              <w:rPr>
                <w:rFonts w:ascii="Arial" w:cs="Arial" w:eastAsia="Arial" w:hAnsi="Arial"/>
                <w:b w:val="0"/>
                <w:bCs w:val="0"/>
                <w:i w:val="0"/>
                <w:iCs w:val="0"/>
                <w:smallCaps w:val="0"/>
                <w:strike w:val="0"/>
                <w:color w:val="0645ad"/>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645ad"/>
                <w:sz w:val="16"/>
                <w:szCs w:val="16"/>
                <w:u w:val="none"/>
                <w:shd w:fill="auto" w:val="clear"/>
                <w:vertAlign w:val="baseline"/>
                <w:rtl w:val="0"/>
              </w:rPr>
              <w:t xml:space="preserve">2024 Lancet Commission on Dementia Prevention, Intervention, and Care</w:t>
            </w:r>
          </w:p>
        </w:tc>
        <w:tc>
          <w:tcPr>
            <w:shd w:fill="auto" w:val="clear"/>
            <w:tcMar>
              <w:top w:w="100.0" w:type="dxa"/>
              <w:left w:w="100.0" w:type="dxa"/>
              <w:bottom w:w="100.0" w:type="dxa"/>
              <w:right w:w="100.0" w:type="dxa"/>
            </w:tcMar>
            <w:vAlign w:val="top"/>
          </w:tcPr>
          <w:p w:rsidR="00000000" w:rsidDel="00000000" w:rsidP="00000000" w:rsidRDefault="00000000" w:rsidRPr="00000000" w14:paraId="000003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5.4533290863037" w:lineRule="auto"/>
              <w:ind w:left="126.1602783203125" w:right="174.161376953125" w:hanging="5.760498046875"/>
              <w:jc w:val="left"/>
              <w:rPr>
                <w:rFonts w:ascii="Arial" w:cs="Arial" w:eastAsia="Arial" w:hAnsi="Arial"/>
                <w:b w:val="0"/>
                <w:bCs w:val="0"/>
                <w:i w:val="0"/>
                <w:iCs w:val="0"/>
                <w:smallCaps w:val="0"/>
                <w:strike w:val="0"/>
                <w:color w:val="0645ad"/>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645ad"/>
                <w:sz w:val="16"/>
                <w:szCs w:val="16"/>
                <w:u w:val="none"/>
                <w:shd w:fill="auto" w:val="clear"/>
                <w:vertAlign w:val="baseline"/>
                <w:rtl w:val="0"/>
              </w:rPr>
              <w:t xml:space="preserve">https://www.thelancet.com/journals/lancet/article/PIIS0140-6736(24)0 1296-0/fulltext</w:t>
            </w:r>
          </w:p>
        </w:tc>
      </w:tr>
      <w:tr>
        <w:trPr>
          <w:cantSplit w:val="0"/>
          <w:trHeight w:val="58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5.4533290863037" w:lineRule="auto"/>
              <w:ind w:left="121.84005737304688" w:right="663.7606811523438" w:hanging="9.28009033203125"/>
              <w:jc w:val="left"/>
              <w:rPr>
                <w:rFonts w:ascii="Arial" w:cs="Arial" w:eastAsia="Arial" w:hAnsi="Arial"/>
                <w:b w:val="0"/>
                <w:bCs w:val="0"/>
                <w:i w:val="0"/>
                <w:iCs w:val="0"/>
                <w:smallCaps w:val="0"/>
                <w:strike w:val="0"/>
                <w:color w:val="0645ad"/>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645ad"/>
                <w:sz w:val="16"/>
                <w:szCs w:val="16"/>
                <w:u w:val="none"/>
                <w:shd w:fill="auto" w:val="clear"/>
                <w:vertAlign w:val="baseline"/>
                <w:rtl w:val="0"/>
              </w:rPr>
              <w:t xml:space="preserve">WHO Guidelines on Physical Activity and Sedentary Behaviour (2020)</w:t>
            </w:r>
          </w:p>
        </w:tc>
        <w:tc>
          <w:tcPr>
            <w:shd w:fill="auto" w:val="clear"/>
            <w:tcMar>
              <w:top w:w="100.0" w:type="dxa"/>
              <w:left w:w="100.0" w:type="dxa"/>
              <w:bottom w:w="100.0" w:type="dxa"/>
              <w:right w:w="100.0" w:type="dxa"/>
            </w:tcMar>
            <w:vAlign w:val="top"/>
          </w:tcPr>
          <w:p w:rsidR="00000000" w:rsidDel="00000000" w:rsidP="00000000" w:rsidRDefault="00000000" w:rsidRPr="00000000" w14:paraId="000003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0.3997802734375" w:right="0" w:firstLine="0"/>
              <w:jc w:val="left"/>
              <w:rPr>
                <w:rFonts w:ascii="Arial" w:cs="Arial" w:eastAsia="Arial" w:hAnsi="Arial"/>
                <w:b w:val="0"/>
                <w:bCs w:val="0"/>
                <w:i w:val="0"/>
                <w:iCs w:val="0"/>
                <w:smallCaps w:val="0"/>
                <w:strike w:val="0"/>
                <w:color w:val="0645ad"/>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645ad"/>
                <w:sz w:val="16"/>
                <w:szCs w:val="16"/>
                <w:u w:val="none"/>
                <w:shd w:fill="auto" w:val="clear"/>
                <w:vertAlign w:val="baseline"/>
                <w:rtl w:val="0"/>
              </w:rPr>
              <w:t xml:space="preserve">https://www.who.int/publications/i/item/9789240015128</w:t>
            </w:r>
          </w:p>
        </w:tc>
      </w:tr>
      <w:tr>
        <w:trPr>
          <w:cantSplit w:val="0"/>
          <w:trHeight w:val="58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5.4533290863037" w:lineRule="auto"/>
              <w:ind w:left="117.6800537109375" w:right="334.9609375" w:hanging="5.120086669921875"/>
              <w:jc w:val="left"/>
              <w:rPr>
                <w:rFonts w:ascii="Arial" w:cs="Arial" w:eastAsia="Arial" w:hAnsi="Arial"/>
                <w:b w:val="0"/>
                <w:bCs w:val="0"/>
                <w:i w:val="0"/>
                <w:iCs w:val="0"/>
                <w:smallCaps w:val="0"/>
                <w:strike w:val="0"/>
                <w:color w:val="0645ad"/>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645ad"/>
                <w:sz w:val="16"/>
                <w:szCs w:val="16"/>
                <w:u w:val="none"/>
                <w:shd w:fill="auto" w:val="clear"/>
                <w:vertAlign w:val="baseline"/>
                <w:rtl w:val="0"/>
              </w:rPr>
              <w:t xml:space="preserve">WHO Risk Reduction of Cognitive Decline and Dementia Guidelines</w:t>
            </w:r>
          </w:p>
        </w:tc>
        <w:tc>
          <w:tcPr>
            <w:shd w:fill="auto" w:val="clear"/>
            <w:tcMar>
              <w:top w:w="100.0" w:type="dxa"/>
              <w:left w:w="100.0" w:type="dxa"/>
              <w:bottom w:w="100.0" w:type="dxa"/>
              <w:right w:w="100.0" w:type="dxa"/>
            </w:tcMar>
            <w:vAlign w:val="top"/>
          </w:tcPr>
          <w:p w:rsidR="00000000" w:rsidDel="00000000" w:rsidP="00000000" w:rsidRDefault="00000000" w:rsidRPr="00000000" w14:paraId="000003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0.3997802734375" w:right="0" w:firstLine="0"/>
              <w:jc w:val="left"/>
              <w:rPr>
                <w:rFonts w:ascii="Arial" w:cs="Arial" w:eastAsia="Arial" w:hAnsi="Arial"/>
                <w:b w:val="0"/>
                <w:bCs w:val="0"/>
                <w:i w:val="0"/>
                <w:iCs w:val="0"/>
                <w:smallCaps w:val="0"/>
                <w:strike w:val="0"/>
                <w:color w:val="0645ad"/>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645ad"/>
                <w:sz w:val="16"/>
                <w:szCs w:val="16"/>
                <w:u w:val="none"/>
                <w:shd w:fill="auto" w:val="clear"/>
                <w:vertAlign w:val="baseline"/>
                <w:rtl w:val="0"/>
              </w:rPr>
              <w:t xml:space="preserve">https://www.who.int/publications/i/item/9789241550543</w:t>
            </w:r>
          </w:p>
        </w:tc>
      </w:tr>
      <w:tr>
        <w:trPr>
          <w:cantSplit w:val="0"/>
          <w:trHeight w:val="58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645ad"/>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645ad"/>
                <w:sz w:val="16"/>
                <w:szCs w:val="16"/>
                <w:u w:val="none"/>
                <w:shd w:fill="auto" w:val="clear"/>
                <w:vertAlign w:val="baseline"/>
                <w:rtl w:val="0"/>
              </w:rPr>
              <w:t xml:space="preserve">Alzheimer's Association — 10 Healthy Habits for Your Brain </w:t>
            </w:r>
          </w:p>
        </w:tc>
        <w:tc>
          <w:tcPr>
            <w:shd w:fill="auto" w:val="clear"/>
            <w:tcMar>
              <w:top w:w="100.0" w:type="dxa"/>
              <w:left w:w="100.0" w:type="dxa"/>
              <w:bottom w:w="100.0" w:type="dxa"/>
              <w:right w:w="100.0" w:type="dxa"/>
            </w:tcMar>
            <w:vAlign w:val="top"/>
          </w:tcPr>
          <w:p w:rsidR="00000000" w:rsidDel="00000000" w:rsidP="00000000" w:rsidRDefault="00000000" w:rsidRPr="00000000" w14:paraId="000003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5.4533290863037" w:lineRule="auto"/>
              <w:ind w:left="120.880126953125" w:right="129.84130859375" w:hanging="0.4803466796875"/>
              <w:jc w:val="left"/>
              <w:rPr>
                <w:rFonts w:ascii="Arial" w:cs="Arial" w:eastAsia="Arial" w:hAnsi="Arial"/>
                <w:b w:val="0"/>
                <w:bCs w:val="0"/>
                <w:i w:val="0"/>
                <w:iCs w:val="0"/>
                <w:smallCaps w:val="0"/>
                <w:strike w:val="0"/>
                <w:color w:val="0645ad"/>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645ad"/>
                <w:sz w:val="16"/>
                <w:szCs w:val="16"/>
                <w:u w:val="none"/>
                <w:shd w:fill="auto" w:val="clear"/>
                <w:vertAlign w:val="baseline"/>
                <w:rtl w:val="0"/>
              </w:rPr>
              <w:t xml:space="preserve">https://www.alz.org/help-support/brain_health/10-healthy-habits-for-yo ur-brain</w:t>
            </w:r>
          </w:p>
        </w:tc>
      </w:tr>
      <w:tr>
        <w:trPr>
          <w:cantSplit w:val="0"/>
          <w:trHeight w:val="58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5.4533290863037" w:lineRule="auto"/>
              <w:ind w:left="123.76007080078125" w:right="398.480224609375" w:hanging="11.52008056640625"/>
              <w:jc w:val="left"/>
              <w:rPr>
                <w:rFonts w:ascii="Arial" w:cs="Arial" w:eastAsia="Arial" w:hAnsi="Arial"/>
                <w:b w:val="0"/>
                <w:bCs w:val="0"/>
                <w:i w:val="0"/>
                <w:iCs w:val="0"/>
                <w:smallCaps w:val="0"/>
                <w:strike w:val="0"/>
                <w:color w:val="0645ad"/>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645ad"/>
                <w:sz w:val="16"/>
                <w:szCs w:val="16"/>
                <w:u w:val="none"/>
                <w:shd w:fill="auto" w:val="clear"/>
                <w:vertAlign w:val="baseline"/>
                <w:rtl w:val="0"/>
              </w:rPr>
              <w:t xml:space="preserve">Alzheimer's Association — Can Alzheimer's Disease Be Prevented?</w:t>
            </w:r>
          </w:p>
        </w:tc>
        <w:tc>
          <w:tcPr>
            <w:shd w:fill="auto" w:val="clear"/>
            <w:tcMar>
              <w:top w:w="100.0" w:type="dxa"/>
              <w:left w:w="100.0" w:type="dxa"/>
              <w:bottom w:w="100.0" w:type="dxa"/>
              <w:right w:w="100.0" w:type="dxa"/>
            </w:tcMar>
            <w:vAlign w:val="top"/>
          </w:tcPr>
          <w:p w:rsidR="00000000" w:rsidDel="00000000" w:rsidP="00000000" w:rsidRDefault="00000000" w:rsidRPr="00000000" w14:paraId="000003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5.4533290863037" w:lineRule="auto"/>
              <w:ind w:left="116.400146484375" w:right="174.801025390625" w:firstLine="3.9996337890625"/>
              <w:jc w:val="left"/>
              <w:rPr>
                <w:rFonts w:ascii="Arial" w:cs="Arial" w:eastAsia="Arial" w:hAnsi="Arial"/>
                <w:b w:val="0"/>
                <w:bCs w:val="0"/>
                <w:i w:val="0"/>
                <w:iCs w:val="0"/>
                <w:smallCaps w:val="0"/>
                <w:strike w:val="0"/>
                <w:color w:val="0645ad"/>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645ad"/>
                <w:sz w:val="16"/>
                <w:szCs w:val="16"/>
                <w:u w:val="none"/>
                <w:shd w:fill="auto" w:val="clear"/>
                <w:vertAlign w:val="baseline"/>
                <w:rtl w:val="0"/>
              </w:rPr>
              <w:t xml:space="preserve">https://www.alz.org/alzheimers-dementia/research-and-progress/prev ention</w:t>
            </w:r>
          </w:p>
        </w:tc>
      </w:tr>
      <w:tr>
        <w:trPr>
          <w:cantSplit w:val="0"/>
          <w:trHeight w:val="58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5.4533290863037" w:lineRule="auto"/>
              <w:ind w:left="121.84005737304688" w:right="521.0406494140625" w:firstLine="0.319976806640625"/>
              <w:jc w:val="left"/>
              <w:rPr>
                <w:rFonts w:ascii="Arial" w:cs="Arial" w:eastAsia="Arial" w:hAnsi="Arial"/>
                <w:b w:val="0"/>
                <w:bCs w:val="0"/>
                <w:i w:val="0"/>
                <w:iCs w:val="0"/>
                <w:smallCaps w:val="0"/>
                <w:strike w:val="0"/>
                <w:color w:val="0645ad"/>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645ad"/>
                <w:sz w:val="16"/>
                <w:szCs w:val="16"/>
                <w:u w:val="none"/>
                <w:shd w:fill="auto" w:val="clear"/>
                <w:vertAlign w:val="baseline"/>
                <w:rtl w:val="0"/>
              </w:rPr>
              <w:t xml:space="preserve">National Institute on Aging — Could Fasting Reset the Body's Clock?</w:t>
            </w:r>
          </w:p>
        </w:tc>
        <w:tc>
          <w:tcPr>
            <w:shd w:fill="auto" w:val="clear"/>
            <w:tcMar>
              <w:top w:w="100.0" w:type="dxa"/>
              <w:left w:w="100.0" w:type="dxa"/>
              <w:bottom w:w="100.0" w:type="dxa"/>
              <w:right w:w="100.0" w:type="dxa"/>
            </w:tcMar>
            <w:vAlign w:val="top"/>
          </w:tcPr>
          <w:p w:rsidR="00000000" w:rsidDel="00000000" w:rsidP="00000000" w:rsidRDefault="00000000" w:rsidRPr="00000000" w14:paraId="000003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5.4533290863037" w:lineRule="auto"/>
              <w:ind w:left="116.400146484375" w:right="103.441162109375" w:firstLine="3.9996337890625"/>
              <w:jc w:val="left"/>
              <w:rPr>
                <w:rFonts w:ascii="Arial" w:cs="Arial" w:eastAsia="Arial" w:hAnsi="Arial"/>
                <w:b w:val="0"/>
                <w:bCs w:val="0"/>
                <w:i w:val="0"/>
                <w:iCs w:val="0"/>
                <w:smallCaps w:val="0"/>
                <w:strike w:val="0"/>
                <w:color w:val="0645ad"/>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645ad"/>
                <w:sz w:val="16"/>
                <w:szCs w:val="16"/>
                <w:u w:val="none"/>
                <w:shd w:fill="auto" w:val="clear"/>
                <w:vertAlign w:val="baseline"/>
                <w:rtl w:val="0"/>
              </w:rPr>
              <w:t xml:space="preserve">https://www.nia.nih.gov/news/could-fasting-reset-bodys-clock-and-prot ect-brain-against-alzheimers</w:t>
            </w:r>
          </w:p>
        </w:tc>
      </w:tr>
      <w:tr>
        <w:trPr>
          <w:cantSplit w:val="0"/>
          <w:trHeight w:val="58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5.4533290863037" w:lineRule="auto"/>
              <w:ind w:left="112.239990234375" w:right="796.8807983398438" w:firstLine="9.9200439453125"/>
              <w:jc w:val="left"/>
              <w:rPr>
                <w:rFonts w:ascii="Arial" w:cs="Arial" w:eastAsia="Arial" w:hAnsi="Arial"/>
                <w:b w:val="0"/>
                <w:bCs w:val="0"/>
                <w:i w:val="0"/>
                <w:iCs w:val="0"/>
                <w:smallCaps w:val="0"/>
                <w:strike w:val="0"/>
                <w:color w:val="0645ad"/>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645ad"/>
                <w:sz w:val="16"/>
                <w:szCs w:val="16"/>
                <w:u w:val="none"/>
                <w:shd w:fill="auto" w:val="clear"/>
                <w:vertAlign w:val="baseline"/>
                <w:rtl w:val="0"/>
              </w:rPr>
              <w:t xml:space="preserve">National Institute on Aging — Gut Microbiome and Alzheimer's</w:t>
            </w:r>
          </w:p>
        </w:tc>
        <w:tc>
          <w:tcPr>
            <w:shd w:fill="auto" w:val="clear"/>
            <w:tcMar>
              <w:top w:w="100.0" w:type="dxa"/>
              <w:left w:w="100.0" w:type="dxa"/>
              <w:bottom w:w="100.0" w:type="dxa"/>
              <w:right w:w="100.0" w:type="dxa"/>
            </w:tcMar>
            <w:vAlign w:val="top"/>
          </w:tcPr>
          <w:p w:rsidR="00000000" w:rsidDel="00000000" w:rsidP="00000000" w:rsidRDefault="00000000" w:rsidRPr="00000000" w14:paraId="000003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5.4533290863037" w:lineRule="auto"/>
              <w:ind w:left="120.72021484375" w:right="121.201171875" w:hanging="0.3204345703125"/>
              <w:jc w:val="left"/>
              <w:rPr>
                <w:rFonts w:ascii="Arial" w:cs="Arial" w:eastAsia="Arial" w:hAnsi="Arial"/>
                <w:b w:val="0"/>
                <w:bCs w:val="0"/>
                <w:i w:val="0"/>
                <w:iCs w:val="0"/>
                <w:smallCaps w:val="0"/>
                <w:strike w:val="0"/>
                <w:color w:val="0645ad"/>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645ad"/>
                <w:sz w:val="16"/>
                <w:szCs w:val="16"/>
                <w:u w:val="none"/>
                <w:shd w:fill="auto" w:val="clear"/>
                <w:vertAlign w:val="baseline"/>
                <w:rtl w:val="0"/>
              </w:rPr>
              <w:t xml:space="preserve">https://www.nia.nih.gov/news/beyond-brain-gut-microbiome-and-alzhe imers-disease</w:t>
            </w:r>
          </w:p>
        </w:tc>
      </w:tr>
      <w:tr>
        <w:trPr>
          <w:cantSplit w:val="0"/>
          <w:trHeight w:val="58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5.4533290863037" w:lineRule="auto"/>
              <w:ind w:left="122.96005249023438" w:right="778.8006591796875" w:hanging="0.800018310546875"/>
              <w:jc w:val="left"/>
              <w:rPr>
                <w:rFonts w:ascii="Arial" w:cs="Arial" w:eastAsia="Arial" w:hAnsi="Arial"/>
                <w:b w:val="0"/>
                <w:bCs w:val="0"/>
                <w:i w:val="0"/>
                <w:iCs w:val="0"/>
                <w:smallCaps w:val="0"/>
                <w:strike w:val="0"/>
                <w:color w:val="0645ad"/>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645ad"/>
                <w:sz w:val="16"/>
                <w:szCs w:val="16"/>
                <w:u w:val="none"/>
                <w:shd w:fill="auto" w:val="clear"/>
                <w:vertAlign w:val="baseline"/>
                <w:rtl w:val="0"/>
              </w:rPr>
              <w:t xml:space="preserve">National Institute on Aging — Loneliness Linked to Dementia Risk</w:t>
            </w:r>
          </w:p>
        </w:tc>
        <w:tc>
          <w:tcPr>
            <w:shd w:fill="auto" w:val="clear"/>
            <w:tcMar>
              <w:top w:w="100.0" w:type="dxa"/>
              <w:left w:w="100.0" w:type="dxa"/>
              <w:bottom w:w="100.0" w:type="dxa"/>
              <w:right w:w="100.0" w:type="dxa"/>
            </w:tcMar>
            <w:vAlign w:val="top"/>
          </w:tcPr>
          <w:p w:rsidR="00000000" w:rsidDel="00000000" w:rsidP="00000000" w:rsidRDefault="00000000" w:rsidRPr="00000000" w14:paraId="000003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5.4533290863037" w:lineRule="auto"/>
              <w:ind w:left="115.7598876953125" w:right="148.240966796875" w:firstLine="4.639892578125"/>
              <w:jc w:val="left"/>
              <w:rPr>
                <w:rFonts w:ascii="Arial" w:cs="Arial" w:eastAsia="Arial" w:hAnsi="Arial"/>
                <w:b w:val="0"/>
                <w:bCs w:val="0"/>
                <w:i w:val="0"/>
                <w:iCs w:val="0"/>
                <w:smallCaps w:val="0"/>
                <w:strike w:val="0"/>
                <w:color w:val="0645ad"/>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645ad"/>
                <w:sz w:val="16"/>
                <w:szCs w:val="16"/>
                <w:u w:val="none"/>
                <w:shd w:fill="auto" w:val="clear"/>
                <w:vertAlign w:val="baseline"/>
                <w:rtl w:val="0"/>
              </w:rPr>
              <w:t xml:space="preserve">https://www.nia.nih.gov/news/loneliness-linked-dementia-risk-large-sc ale-analysis</w:t>
            </w:r>
          </w:p>
        </w:tc>
      </w:tr>
      <w:tr>
        <w:trPr>
          <w:cantSplit w:val="0"/>
          <w:trHeight w:val="58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5.4533290863037" w:lineRule="auto"/>
              <w:ind w:left="117.03994750976562" w:right="130.4803466796875" w:hanging="4.799957275390625"/>
              <w:jc w:val="left"/>
              <w:rPr>
                <w:rFonts w:ascii="Arial" w:cs="Arial" w:eastAsia="Arial" w:hAnsi="Arial"/>
                <w:b w:val="0"/>
                <w:bCs w:val="0"/>
                <w:i w:val="0"/>
                <w:iCs w:val="0"/>
                <w:smallCaps w:val="0"/>
                <w:strike w:val="0"/>
                <w:color w:val="0645ad"/>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645ad"/>
                <w:sz w:val="16"/>
                <w:szCs w:val="16"/>
                <w:u w:val="none"/>
                <w:shd w:fill="auto" w:val="clear"/>
                <w:vertAlign w:val="baseline"/>
                <w:rtl w:val="0"/>
              </w:rPr>
              <w:t xml:space="preserve">Alzheimers.gov — Changes in Human Microbiome Precede Cognitive Decline</w:t>
            </w:r>
          </w:p>
        </w:tc>
        <w:tc>
          <w:tcPr>
            <w:shd w:fill="auto" w:val="clear"/>
            <w:tcMar>
              <w:top w:w="100.0" w:type="dxa"/>
              <w:left w:w="100.0" w:type="dxa"/>
              <w:bottom w:w="100.0" w:type="dxa"/>
              <w:right w:w="100.0" w:type="dxa"/>
            </w:tcMar>
            <w:vAlign w:val="top"/>
          </w:tcPr>
          <w:p w:rsidR="00000000" w:rsidDel="00000000" w:rsidP="00000000" w:rsidRDefault="00000000" w:rsidRPr="00000000" w14:paraId="000003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5.4533290863037" w:lineRule="auto"/>
              <w:ind w:left="116.400146484375" w:right="94.801025390625" w:firstLine="3.9996337890625"/>
              <w:jc w:val="left"/>
              <w:rPr>
                <w:rFonts w:ascii="Arial" w:cs="Arial" w:eastAsia="Arial" w:hAnsi="Arial"/>
                <w:b w:val="0"/>
                <w:bCs w:val="0"/>
                <w:i w:val="0"/>
                <w:iCs w:val="0"/>
                <w:smallCaps w:val="0"/>
                <w:strike w:val="0"/>
                <w:color w:val="0645ad"/>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645ad"/>
                <w:sz w:val="16"/>
                <w:szCs w:val="16"/>
                <w:u w:val="none"/>
                <w:shd w:fill="auto" w:val="clear"/>
                <w:vertAlign w:val="baseline"/>
                <w:rtl w:val="0"/>
              </w:rPr>
              <w:t xml:space="preserve">https://www.alzheimers.gov/news/changes-human-microbiome-preced e-alzheimers-cognitive-declines</w:t>
            </w:r>
          </w:p>
        </w:tc>
      </w:tr>
      <w:tr>
        <w:trPr>
          <w:cantSplit w:val="0"/>
          <w:trHeight w:val="37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64007568359375" w:right="0" w:firstLine="0"/>
              <w:jc w:val="left"/>
              <w:rPr>
                <w:rFonts w:ascii="Arial" w:cs="Arial" w:eastAsia="Arial" w:hAnsi="Arial"/>
                <w:b w:val="0"/>
                <w:bCs w:val="0"/>
                <w:i w:val="0"/>
                <w:iCs w:val="0"/>
                <w:smallCaps w:val="0"/>
                <w:strike w:val="0"/>
                <w:color w:val="0645ad"/>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645ad"/>
                <w:sz w:val="16"/>
                <w:szCs w:val="16"/>
                <w:u w:val="none"/>
                <w:shd w:fill="auto" w:val="clear"/>
                <w:vertAlign w:val="baseline"/>
                <w:rtl w:val="0"/>
              </w:rPr>
              <w:t xml:space="preserve">US Preventive Services Task Force — Recommendations </w:t>
            </w:r>
          </w:p>
        </w:tc>
        <w:tc>
          <w:tcPr>
            <w:shd w:fill="auto" w:val="clear"/>
            <w:tcMar>
              <w:top w:w="100.0" w:type="dxa"/>
              <w:left w:w="100.0" w:type="dxa"/>
              <w:bottom w:w="100.0" w:type="dxa"/>
              <w:right w:w="100.0" w:type="dxa"/>
            </w:tcMar>
            <w:vAlign w:val="top"/>
          </w:tcPr>
          <w:p w:rsidR="00000000" w:rsidDel="00000000" w:rsidP="00000000" w:rsidRDefault="00000000" w:rsidRPr="00000000" w14:paraId="000003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0.3997802734375" w:right="0" w:firstLine="0"/>
              <w:jc w:val="left"/>
              <w:rPr>
                <w:rFonts w:ascii="Arial" w:cs="Arial" w:eastAsia="Arial" w:hAnsi="Arial"/>
                <w:b w:val="0"/>
                <w:bCs w:val="0"/>
                <w:i w:val="0"/>
                <w:iCs w:val="0"/>
                <w:smallCaps w:val="0"/>
                <w:strike w:val="0"/>
                <w:color w:val="0645ad"/>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645ad"/>
                <w:sz w:val="16"/>
                <w:szCs w:val="16"/>
                <w:u w:val="none"/>
                <w:shd w:fill="auto" w:val="clear"/>
                <w:vertAlign w:val="baseline"/>
                <w:rtl w:val="0"/>
              </w:rPr>
              <w:t xml:space="preserve">https://www.uspreventiveservicestaskforce.org/uspstf/</w:t>
            </w:r>
          </w:p>
        </w:tc>
      </w:tr>
      <w:tr>
        <w:trPr>
          <w:cantSplit w:val="0"/>
          <w:trHeight w:val="58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239990234375" w:right="0" w:firstLine="0"/>
              <w:jc w:val="left"/>
              <w:rPr>
                <w:rFonts w:ascii="Arial" w:cs="Arial" w:eastAsia="Arial" w:hAnsi="Arial"/>
                <w:b w:val="0"/>
                <w:bCs w:val="0"/>
                <w:i w:val="0"/>
                <w:iCs w:val="0"/>
                <w:smallCaps w:val="0"/>
                <w:strike w:val="0"/>
                <w:color w:val="0645ad"/>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645ad"/>
                <w:sz w:val="16"/>
                <w:szCs w:val="16"/>
                <w:u w:val="none"/>
                <w:shd w:fill="auto" w:val="clear"/>
                <w:vertAlign w:val="baseline"/>
                <w:rtl w:val="0"/>
              </w:rPr>
              <w:t xml:space="preserve">American Heart Association — Life's Essential 8 </w:t>
            </w:r>
          </w:p>
        </w:tc>
        <w:tc>
          <w:tcPr>
            <w:shd w:fill="auto" w:val="clear"/>
            <w:tcMar>
              <w:top w:w="100.0" w:type="dxa"/>
              <w:left w:w="100.0" w:type="dxa"/>
              <w:bottom w:w="100.0" w:type="dxa"/>
              <w:right w:w="100.0" w:type="dxa"/>
            </w:tcMar>
            <w:vAlign w:val="top"/>
          </w:tcPr>
          <w:p w:rsidR="00000000" w:rsidDel="00000000" w:rsidP="00000000" w:rsidRDefault="00000000" w:rsidRPr="00000000" w14:paraId="000003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2.3950004577637" w:lineRule="auto"/>
              <w:ind w:left="116.0797119140625" w:right="154.9609375" w:firstLine="4.320068359375"/>
              <w:jc w:val="left"/>
              <w:rPr>
                <w:rFonts w:ascii="Arial" w:cs="Arial" w:eastAsia="Arial" w:hAnsi="Arial"/>
                <w:b w:val="0"/>
                <w:bCs w:val="0"/>
                <w:i w:val="0"/>
                <w:iCs w:val="0"/>
                <w:smallCaps w:val="0"/>
                <w:strike w:val="0"/>
                <w:color w:val="0645ad"/>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645ad"/>
                <w:sz w:val="16"/>
                <w:szCs w:val="16"/>
                <w:u w:val="none"/>
                <w:shd w:fill="auto" w:val="clear"/>
                <w:vertAlign w:val="baseline"/>
                <w:rtl w:val="0"/>
              </w:rPr>
              <w:t xml:space="preserve">https://www.heart.org/en/healthy-living/healthy-lifestyle/lifes-essential 8</w:t>
            </w:r>
          </w:p>
        </w:tc>
      </w:tr>
      <w:tr>
        <w:trPr>
          <w:cantSplit w:val="0"/>
          <w:trHeight w:val="37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645ad"/>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645ad"/>
                <w:sz w:val="16"/>
                <w:szCs w:val="16"/>
                <w:u w:val="none"/>
                <w:shd w:fill="auto" w:val="clear"/>
                <w:vertAlign w:val="baseline"/>
                <w:rtl w:val="0"/>
              </w:rPr>
              <w:t xml:space="preserve">PMC — Sleep and Beta-Amyloid Clearance (PMC4323377) </w:t>
            </w:r>
          </w:p>
        </w:tc>
        <w:tc>
          <w:tcPr>
            <w:shd w:fill="auto" w:val="clear"/>
            <w:tcMar>
              <w:top w:w="100.0" w:type="dxa"/>
              <w:left w:w="100.0" w:type="dxa"/>
              <w:bottom w:w="100.0" w:type="dxa"/>
              <w:right w:w="100.0" w:type="dxa"/>
            </w:tcMar>
            <w:vAlign w:val="top"/>
          </w:tcPr>
          <w:p w:rsidR="00000000" w:rsidDel="00000000" w:rsidP="00000000" w:rsidRDefault="00000000" w:rsidRPr="00000000" w14:paraId="000003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0.3997802734375" w:right="0" w:firstLine="0"/>
              <w:jc w:val="left"/>
              <w:rPr>
                <w:rFonts w:ascii="Arial" w:cs="Arial" w:eastAsia="Arial" w:hAnsi="Arial"/>
                <w:b w:val="0"/>
                <w:bCs w:val="0"/>
                <w:i w:val="0"/>
                <w:iCs w:val="0"/>
                <w:smallCaps w:val="0"/>
                <w:strike w:val="0"/>
                <w:color w:val="0645ad"/>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645ad"/>
                <w:sz w:val="16"/>
                <w:szCs w:val="16"/>
                <w:u w:val="none"/>
                <w:shd w:fill="auto" w:val="clear"/>
                <w:vertAlign w:val="baseline"/>
                <w:rtl w:val="0"/>
              </w:rPr>
              <w:t xml:space="preserve">https://pmc.ncbi.nlm.nih.gov/articles/PMC4323377/</w:t>
            </w:r>
          </w:p>
        </w:tc>
      </w:tr>
      <w:tr>
        <w:trPr>
          <w:cantSplit w:val="0"/>
          <w:trHeight w:val="58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5.4533290863037" w:lineRule="auto"/>
              <w:ind w:left="120.87997436523438" w:right="512.720947265625" w:firstLine="2.880096435546875"/>
              <w:jc w:val="left"/>
              <w:rPr>
                <w:rFonts w:ascii="Arial" w:cs="Arial" w:eastAsia="Arial" w:hAnsi="Arial"/>
                <w:b w:val="0"/>
                <w:bCs w:val="0"/>
                <w:i w:val="0"/>
                <w:iCs w:val="0"/>
                <w:smallCaps w:val="0"/>
                <w:strike w:val="0"/>
                <w:color w:val="0645ad"/>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645ad"/>
                <w:sz w:val="16"/>
                <w:szCs w:val="16"/>
                <w:u w:val="none"/>
                <w:shd w:fill="auto" w:val="clear"/>
                <w:vertAlign w:val="baseline"/>
                <w:rtl w:val="0"/>
              </w:rPr>
              <w:t xml:space="preserve">PMC — Nutrient Deficiencies and Dementia Incidence (PMC11247665)</w:t>
            </w:r>
          </w:p>
        </w:tc>
        <w:tc>
          <w:tcPr>
            <w:shd w:fill="auto" w:val="clear"/>
            <w:tcMar>
              <w:top w:w="100.0" w:type="dxa"/>
              <w:left w:w="100.0" w:type="dxa"/>
              <w:bottom w:w="100.0" w:type="dxa"/>
              <w:right w:w="100.0" w:type="dxa"/>
            </w:tcMar>
            <w:vAlign w:val="top"/>
          </w:tcPr>
          <w:p w:rsidR="00000000" w:rsidDel="00000000" w:rsidP="00000000" w:rsidRDefault="00000000" w:rsidRPr="00000000" w14:paraId="000003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0.3997802734375" w:right="0" w:firstLine="0"/>
              <w:jc w:val="left"/>
              <w:rPr>
                <w:rFonts w:ascii="Arial" w:cs="Arial" w:eastAsia="Arial" w:hAnsi="Arial"/>
                <w:b w:val="0"/>
                <w:bCs w:val="0"/>
                <w:i w:val="0"/>
                <w:iCs w:val="0"/>
                <w:smallCaps w:val="0"/>
                <w:strike w:val="0"/>
                <w:color w:val="0645ad"/>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645ad"/>
                <w:sz w:val="16"/>
                <w:szCs w:val="16"/>
                <w:u w:val="none"/>
                <w:shd w:fill="auto" w:val="clear"/>
                <w:vertAlign w:val="baseline"/>
                <w:rtl w:val="0"/>
              </w:rPr>
              <w:t xml:space="preserve">https://pmc.ncbi.nlm.nih.gov/articles/PMC11247665/</w:t>
            </w:r>
          </w:p>
        </w:tc>
      </w:tr>
      <w:tr>
        <w:trPr>
          <w:cantSplit w:val="0"/>
          <w:trHeight w:val="37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3.76007080078125" w:right="0" w:firstLine="0"/>
              <w:jc w:val="left"/>
              <w:rPr>
                <w:rFonts w:ascii="Arial" w:cs="Arial" w:eastAsia="Arial" w:hAnsi="Arial"/>
                <w:b w:val="0"/>
                <w:bCs w:val="0"/>
                <w:i w:val="0"/>
                <w:iCs w:val="0"/>
                <w:smallCaps w:val="0"/>
                <w:strike w:val="0"/>
                <w:color w:val="0645ad"/>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645ad"/>
                <w:sz w:val="16"/>
                <w:szCs w:val="16"/>
                <w:u w:val="none"/>
                <w:shd w:fill="auto" w:val="clear"/>
                <w:vertAlign w:val="baseline"/>
                <w:rtl w:val="0"/>
              </w:rPr>
              <w:t xml:space="preserve">PMC — Ketogenic Approaches Review (PMC7642953) </w:t>
            </w:r>
          </w:p>
        </w:tc>
        <w:tc>
          <w:tcPr>
            <w:shd w:fill="auto" w:val="clear"/>
            <w:tcMar>
              <w:top w:w="100.0" w:type="dxa"/>
              <w:left w:w="100.0" w:type="dxa"/>
              <w:bottom w:w="100.0" w:type="dxa"/>
              <w:right w:w="100.0" w:type="dxa"/>
            </w:tcMar>
            <w:vAlign w:val="top"/>
          </w:tcPr>
          <w:p w:rsidR="00000000" w:rsidDel="00000000" w:rsidP="00000000" w:rsidRDefault="00000000" w:rsidRPr="00000000" w14:paraId="000003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0.3997802734375" w:right="0" w:firstLine="0"/>
              <w:jc w:val="left"/>
              <w:rPr>
                <w:rFonts w:ascii="Arial" w:cs="Arial" w:eastAsia="Arial" w:hAnsi="Arial"/>
                <w:b w:val="0"/>
                <w:bCs w:val="0"/>
                <w:i w:val="0"/>
                <w:iCs w:val="0"/>
                <w:smallCaps w:val="0"/>
                <w:strike w:val="0"/>
                <w:color w:val="0645ad"/>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645ad"/>
                <w:sz w:val="16"/>
                <w:szCs w:val="16"/>
                <w:u w:val="none"/>
                <w:shd w:fill="auto" w:val="clear"/>
                <w:vertAlign w:val="baseline"/>
                <w:rtl w:val="0"/>
              </w:rPr>
              <w:t xml:space="preserve">https://pmc.ncbi.nlm.nih.gov/articles/PMC7642953/</w:t>
            </w:r>
          </w:p>
        </w:tc>
      </w:tr>
      <w:tr>
        <w:trPr>
          <w:cantSplit w:val="0"/>
          <w:trHeight w:val="37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3.76007080078125" w:right="0" w:firstLine="0"/>
              <w:jc w:val="left"/>
              <w:rPr>
                <w:rFonts w:ascii="Arial" w:cs="Arial" w:eastAsia="Arial" w:hAnsi="Arial"/>
                <w:b w:val="0"/>
                <w:bCs w:val="0"/>
                <w:i w:val="0"/>
                <w:iCs w:val="0"/>
                <w:smallCaps w:val="0"/>
                <w:strike w:val="0"/>
                <w:color w:val="0645ad"/>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645ad"/>
                <w:sz w:val="16"/>
                <w:szCs w:val="16"/>
                <w:u w:val="none"/>
                <w:shd w:fill="auto" w:val="clear"/>
                <w:vertAlign w:val="baseline"/>
                <w:rtl w:val="0"/>
              </w:rPr>
              <w:t xml:space="preserve">PMC — Cognitive Training Review (PMC5991350) </w:t>
            </w:r>
          </w:p>
        </w:tc>
        <w:tc>
          <w:tcPr>
            <w:shd w:fill="auto" w:val="clear"/>
            <w:tcMar>
              <w:top w:w="100.0" w:type="dxa"/>
              <w:left w:w="100.0" w:type="dxa"/>
              <w:bottom w:w="100.0" w:type="dxa"/>
              <w:right w:w="100.0" w:type="dxa"/>
            </w:tcMar>
            <w:vAlign w:val="top"/>
          </w:tcPr>
          <w:p w:rsidR="00000000" w:rsidDel="00000000" w:rsidP="00000000" w:rsidRDefault="00000000" w:rsidRPr="00000000" w14:paraId="000003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0.3997802734375" w:right="0" w:firstLine="0"/>
              <w:jc w:val="left"/>
              <w:rPr>
                <w:rFonts w:ascii="Arial" w:cs="Arial" w:eastAsia="Arial" w:hAnsi="Arial"/>
                <w:b w:val="0"/>
                <w:bCs w:val="0"/>
                <w:i w:val="0"/>
                <w:iCs w:val="0"/>
                <w:smallCaps w:val="0"/>
                <w:strike w:val="0"/>
                <w:color w:val="0645ad"/>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645ad"/>
                <w:sz w:val="16"/>
                <w:szCs w:val="16"/>
                <w:u w:val="none"/>
                <w:shd w:fill="auto" w:val="clear"/>
                <w:vertAlign w:val="baseline"/>
                <w:rtl w:val="0"/>
              </w:rPr>
              <w:t xml:space="preserve">https://pmc.ncbi.nlm.nih.gov/articles/PMC5991350/</w:t>
            </w:r>
          </w:p>
        </w:tc>
      </w:tr>
      <w:tr>
        <w:trPr>
          <w:cantSplit w:val="0"/>
          <w:trHeight w:val="37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3.76007080078125" w:right="0" w:firstLine="0"/>
              <w:jc w:val="left"/>
              <w:rPr>
                <w:rFonts w:ascii="Arial" w:cs="Arial" w:eastAsia="Arial" w:hAnsi="Arial"/>
                <w:b w:val="0"/>
                <w:bCs w:val="0"/>
                <w:i w:val="0"/>
                <w:iCs w:val="0"/>
                <w:smallCaps w:val="0"/>
                <w:strike w:val="0"/>
                <w:color w:val="0645ad"/>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645ad"/>
                <w:sz w:val="16"/>
                <w:szCs w:val="16"/>
                <w:u w:val="none"/>
                <w:shd w:fill="auto" w:val="clear"/>
                <w:vertAlign w:val="baseline"/>
                <w:rtl w:val="0"/>
              </w:rPr>
              <w:t xml:space="preserve">PMC — Vascular Risk Factors Review (PMC7272467) </w:t>
            </w:r>
          </w:p>
        </w:tc>
        <w:tc>
          <w:tcPr>
            <w:shd w:fill="auto" w:val="clear"/>
            <w:tcMar>
              <w:top w:w="100.0" w:type="dxa"/>
              <w:left w:w="100.0" w:type="dxa"/>
              <w:bottom w:w="100.0" w:type="dxa"/>
              <w:right w:w="100.0" w:type="dxa"/>
            </w:tcMar>
            <w:vAlign w:val="top"/>
          </w:tcPr>
          <w:p w:rsidR="00000000" w:rsidDel="00000000" w:rsidP="00000000" w:rsidRDefault="00000000" w:rsidRPr="00000000" w14:paraId="000003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0.3997802734375" w:right="0" w:firstLine="0"/>
              <w:jc w:val="left"/>
              <w:rPr>
                <w:rFonts w:ascii="Arial" w:cs="Arial" w:eastAsia="Arial" w:hAnsi="Arial"/>
                <w:b w:val="0"/>
                <w:bCs w:val="0"/>
                <w:i w:val="0"/>
                <w:iCs w:val="0"/>
                <w:smallCaps w:val="0"/>
                <w:strike w:val="0"/>
                <w:color w:val="0645ad"/>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645ad"/>
                <w:sz w:val="16"/>
                <w:szCs w:val="16"/>
                <w:u w:val="none"/>
                <w:shd w:fill="auto" w:val="clear"/>
                <w:vertAlign w:val="baseline"/>
                <w:rtl w:val="0"/>
              </w:rPr>
              <w:t xml:space="preserve">https://pmc.ncbi.nlm.nih.gov/articles/PMC7272467/</w:t>
            </w:r>
          </w:p>
        </w:tc>
      </w:tr>
      <w:tr>
        <w:trPr>
          <w:cantSplit w:val="0"/>
          <w:trHeight w:val="37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3.76007080078125" w:right="0" w:firstLine="0"/>
              <w:jc w:val="left"/>
              <w:rPr>
                <w:rFonts w:ascii="Arial" w:cs="Arial" w:eastAsia="Arial" w:hAnsi="Arial"/>
                <w:b w:val="0"/>
                <w:bCs w:val="0"/>
                <w:i w:val="0"/>
                <w:iCs w:val="0"/>
                <w:smallCaps w:val="0"/>
                <w:strike w:val="0"/>
                <w:color w:val="0645ad"/>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645ad"/>
                <w:sz w:val="16"/>
                <w:szCs w:val="16"/>
                <w:u w:val="none"/>
                <w:shd w:fill="auto" w:val="clear"/>
                <w:vertAlign w:val="baseline"/>
                <w:rtl w:val="0"/>
              </w:rPr>
              <w:t xml:space="preserve">PMC — Additional Dementia Risk Review (PMC7483955) </w:t>
            </w:r>
          </w:p>
        </w:tc>
        <w:tc>
          <w:tcPr>
            <w:shd w:fill="auto" w:val="clear"/>
            <w:tcMar>
              <w:top w:w="100.0" w:type="dxa"/>
              <w:left w:w="100.0" w:type="dxa"/>
              <w:bottom w:w="100.0" w:type="dxa"/>
              <w:right w:w="100.0" w:type="dxa"/>
            </w:tcMar>
            <w:vAlign w:val="top"/>
          </w:tcPr>
          <w:p w:rsidR="00000000" w:rsidDel="00000000" w:rsidP="00000000" w:rsidRDefault="00000000" w:rsidRPr="00000000" w14:paraId="000003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0.3997802734375" w:right="0" w:firstLine="0"/>
              <w:jc w:val="left"/>
              <w:rPr>
                <w:rFonts w:ascii="Arial" w:cs="Arial" w:eastAsia="Arial" w:hAnsi="Arial"/>
                <w:b w:val="0"/>
                <w:bCs w:val="0"/>
                <w:i w:val="0"/>
                <w:iCs w:val="0"/>
                <w:smallCaps w:val="0"/>
                <w:strike w:val="0"/>
                <w:color w:val="0645ad"/>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645ad"/>
                <w:sz w:val="16"/>
                <w:szCs w:val="16"/>
                <w:u w:val="none"/>
                <w:shd w:fill="auto" w:val="clear"/>
                <w:vertAlign w:val="baseline"/>
                <w:rtl w:val="0"/>
              </w:rPr>
              <w:t xml:space="preserve">https://pmc.ncbi.nlm.nih.gov/articles/PMC7483955/</w:t>
            </w:r>
          </w:p>
        </w:tc>
      </w:tr>
      <w:tr>
        <w:trPr>
          <w:cantSplit w:val="0"/>
          <w:trHeight w:val="58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3.76007080078125" w:right="0" w:firstLine="0"/>
              <w:jc w:val="left"/>
              <w:rPr>
                <w:rFonts w:ascii="Arial" w:cs="Arial" w:eastAsia="Arial" w:hAnsi="Arial"/>
                <w:b w:val="0"/>
                <w:bCs w:val="0"/>
                <w:i w:val="0"/>
                <w:iCs w:val="0"/>
                <w:smallCaps w:val="0"/>
                <w:strike w:val="0"/>
                <w:color w:val="0645ad"/>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645ad"/>
                <w:sz w:val="16"/>
                <w:szCs w:val="16"/>
                <w:u w:val="none"/>
                <w:shd w:fill="auto" w:val="clear"/>
                <w:vertAlign w:val="baseline"/>
                <w:rtl w:val="0"/>
              </w:rPr>
              <w:t xml:space="preserve">PMC — Metformin Time-Related Bias Review </w:t>
            </w:r>
          </w:p>
          <w:p w:rsidR="00000000" w:rsidDel="00000000" w:rsidP="00000000" w:rsidRDefault="00000000" w:rsidRPr="00000000" w14:paraId="000003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93988037109375" w:line="240" w:lineRule="auto"/>
              <w:ind w:left="120.87997436523438" w:right="0" w:firstLine="0"/>
              <w:jc w:val="left"/>
              <w:rPr>
                <w:rFonts w:ascii="Arial" w:cs="Arial" w:eastAsia="Arial" w:hAnsi="Arial"/>
                <w:b w:val="0"/>
                <w:bCs w:val="0"/>
                <w:i w:val="0"/>
                <w:iCs w:val="0"/>
                <w:smallCaps w:val="0"/>
                <w:strike w:val="0"/>
                <w:color w:val="0645ad"/>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645ad"/>
                <w:sz w:val="16"/>
                <w:szCs w:val="16"/>
                <w:u w:val="none"/>
                <w:shd w:fill="auto" w:val="clear"/>
                <w:vertAlign w:val="baseline"/>
                <w:rtl w:val="0"/>
              </w:rPr>
              <w:t xml:space="preserve">(PMC9484147)</w:t>
            </w:r>
          </w:p>
        </w:tc>
        <w:tc>
          <w:tcPr>
            <w:shd w:fill="auto" w:val="clear"/>
            <w:tcMar>
              <w:top w:w="100.0" w:type="dxa"/>
              <w:left w:w="100.0" w:type="dxa"/>
              <w:bottom w:w="100.0" w:type="dxa"/>
              <w:right w:w="100.0" w:type="dxa"/>
            </w:tcMar>
            <w:vAlign w:val="top"/>
          </w:tcPr>
          <w:p w:rsidR="00000000" w:rsidDel="00000000" w:rsidP="00000000" w:rsidRDefault="00000000" w:rsidRPr="00000000" w14:paraId="000003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0.3997802734375" w:right="0" w:firstLine="0"/>
              <w:jc w:val="left"/>
              <w:rPr>
                <w:rFonts w:ascii="Arial" w:cs="Arial" w:eastAsia="Arial" w:hAnsi="Arial"/>
                <w:b w:val="0"/>
                <w:bCs w:val="0"/>
                <w:i w:val="0"/>
                <w:iCs w:val="0"/>
                <w:smallCaps w:val="0"/>
                <w:strike w:val="0"/>
                <w:color w:val="0645ad"/>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645ad"/>
                <w:sz w:val="16"/>
                <w:szCs w:val="16"/>
                <w:u w:val="none"/>
                <w:shd w:fill="auto" w:val="clear"/>
                <w:vertAlign w:val="baseline"/>
                <w:rtl w:val="0"/>
              </w:rPr>
              <w:t xml:space="preserve">https://pmc.ncbi.nlm.nih.gov/articles/PMC9484147/</w:t>
            </w:r>
          </w:p>
        </w:tc>
      </w:tr>
      <w:tr>
        <w:trPr>
          <w:cantSplit w:val="0"/>
          <w:trHeight w:val="37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3.76007080078125" w:right="0" w:firstLine="0"/>
              <w:jc w:val="left"/>
              <w:rPr>
                <w:rFonts w:ascii="Arial" w:cs="Arial" w:eastAsia="Arial" w:hAnsi="Arial"/>
                <w:b w:val="0"/>
                <w:bCs w:val="0"/>
                <w:i w:val="0"/>
                <w:iCs w:val="0"/>
                <w:smallCaps w:val="0"/>
                <w:strike w:val="0"/>
                <w:color w:val="0645ad"/>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645ad"/>
                <w:sz w:val="16"/>
                <w:szCs w:val="16"/>
                <w:u w:val="none"/>
                <w:shd w:fill="auto" w:val="clear"/>
                <w:vertAlign w:val="baseline"/>
                <w:rtl w:val="0"/>
              </w:rPr>
              <w:t xml:space="preserve">PMC — SELECT Trial Post-Hoc Analysis (PMC13452022) </w:t>
            </w:r>
          </w:p>
        </w:tc>
        <w:tc>
          <w:tcPr>
            <w:shd w:fill="auto" w:val="clear"/>
            <w:tcMar>
              <w:top w:w="100.0" w:type="dxa"/>
              <w:left w:w="100.0" w:type="dxa"/>
              <w:bottom w:w="100.0" w:type="dxa"/>
              <w:right w:w="100.0" w:type="dxa"/>
            </w:tcMar>
            <w:vAlign w:val="top"/>
          </w:tcPr>
          <w:p w:rsidR="00000000" w:rsidDel="00000000" w:rsidP="00000000" w:rsidRDefault="00000000" w:rsidRPr="00000000" w14:paraId="000003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0.3997802734375" w:right="0" w:firstLine="0"/>
              <w:jc w:val="left"/>
              <w:rPr>
                <w:rFonts w:ascii="Arial" w:cs="Arial" w:eastAsia="Arial" w:hAnsi="Arial"/>
                <w:b w:val="0"/>
                <w:bCs w:val="0"/>
                <w:i w:val="0"/>
                <w:iCs w:val="0"/>
                <w:smallCaps w:val="0"/>
                <w:strike w:val="0"/>
                <w:color w:val="0645ad"/>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645ad"/>
                <w:sz w:val="16"/>
                <w:szCs w:val="16"/>
                <w:u w:val="none"/>
                <w:shd w:fill="auto" w:val="clear"/>
                <w:vertAlign w:val="baseline"/>
                <w:rtl w:val="0"/>
              </w:rPr>
              <w:t xml:space="preserve">https://pmc.ncbi.nlm.nih.gov/articles/PMC13452022/</w:t>
            </w:r>
          </w:p>
        </w:tc>
      </w:tr>
      <w:tr>
        <w:trPr>
          <w:cantSplit w:val="0"/>
          <w:trHeight w:val="37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3.76007080078125" w:right="0" w:firstLine="0"/>
              <w:jc w:val="left"/>
              <w:rPr>
                <w:rFonts w:ascii="Arial" w:cs="Arial" w:eastAsia="Arial" w:hAnsi="Arial"/>
                <w:b w:val="0"/>
                <w:bCs w:val="0"/>
                <w:i w:val="0"/>
                <w:iCs w:val="0"/>
                <w:smallCaps w:val="0"/>
                <w:strike w:val="0"/>
                <w:color w:val="0645ad"/>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645ad"/>
                <w:sz w:val="16"/>
                <w:szCs w:val="16"/>
                <w:u w:val="none"/>
                <w:shd w:fill="auto" w:val="clear"/>
                <w:vertAlign w:val="baseline"/>
                <w:rtl w:val="0"/>
              </w:rPr>
              <w:t xml:space="preserve">PMC — Statin Cognitive Meta-Analysis (PMC4351273) </w:t>
            </w:r>
          </w:p>
        </w:tc>
        <w:tc>
          <w:tcPr>
            <w:shd w:fill="auto" w:val="clear"/>
            <w:tcMar>
              <w:top w:w="100.0" w:type="dxa"/>
              <w:left w:w="100.0" w:type="dxa"/>
              <w:bottom w:w="100.0" w:type="dxa"/>
              <w:right w:w="100.0" w:type="dxa"/>
            </w:tcMar>
            <w:vAlign w:val="top"/>
          </w:tcPr>
          <w:p w:rsidR="00000000" w:rsidDel="00000000" w:rsidP="00000000" w:rsidRDefault="00000000" w:rsidRPr="00000000" w14:paraId="000003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0.3997802734375" w:right="0" w:firstLine="0"/>
              <w:jc w:val="left"/>
              <w:rPr>
                <w:rFonts w:ascii="Arial" w:cs="Arial" w:eastAsia="Arial" w:hAnsi="Arial"/>
                <w:b w:val="0"/>
                <w:bCs w:val="0"/>
                <w:i w:val="0"/>
                <w:iCs w:val="0"/>
                <w:smallCaps w:val="0"/>
                <w:strike w:val="0"/>
                <w:color w:val="0645ad"/>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645ad"/>
                <w:sz w:val="16"/>
                <w:szCs w:val="16"/>
                <w:u w:val="none"/>
                <w:shd w:fill="auto" w:val="clear"/>
                <w:vertAlign w:val="baseline"/>
                <w:rtl w:val="0"/>
              </w:rPr>
              <w:t xml:space="preserve">https://pmc.ncbi.nlm.nih.gov/articles/PMC4351273/</w:t>
            </w:r>
          </w:p>
        </w:tc>
      </w:tr>
      <w:tr>
        <w:trPr>
          <w:cantSplit w:val="0"/>
          <w:trHeight w:val="58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3.76007080078125" w:right="0" w:firstLine="0"/>
              <w:jc w:val="left"/>
              <w:rPr>
                <w:rFonts w:ascii="Arial" w:cs="Arial" w:eastAsia="Arial" w:hAnsi="Arial"/>
                <w:b w:val="0"/>
                <w:bCs w:val="0"/>
                <w:i w:val="0"/>
                <w:iCs w:val="0"/>
                <w:smallCaps w:val="0"/>
                <w:strike w:val="0"/>
                <w:color w:val="0645ad"/>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645ad"/>
                <w:sz w:val="16"/>
                <w:szCs w:val="16"/>
                <w:u w:val="none"/>
                <w:shd w:fill="auto" w:val="clear"/>
                <w:vertAlign w:val="baseline"/>
                <w:rtl w:val="0"/>
              </w:rPr>
              <w:t xml:space="preserve">PMC — APOE Penetrance Multicohort Study </w:t>
            </w:r>
          </w:p>
          <w:p w:rsidR="00000000" w:rsidDel="00000000" w:rsidP="00000000" w:rsidRDefault="00000000" w:rsidRPr="00000000" w14:paraId="000003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93988037109375" w:line="240" w:lineRule="auto"/>
              <w:ind w:left="120.87997436523438" w:right="0" w:firstLine="0"/>
              <w:jc w:val="left"/>
              <w:rPr>
                <w:rFonts w:ascii="Arial" w:cs="Arial" w:eastAsia="Arial" w:hAnsi="Arial"/>
                <w:b w:val="0"/>
                <w:bCs w:val="0"/>
                <w:i w:val="0"/>
                <w:iCs w:val="0"/>
                <w:smallCaps w:val="0"/>
                <w:strike w:val="0"/>
                <w:color w:val="0645ad"/>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645ad"/>
                <w:sz w:val="16"/>
                <w:szCs w:val="16"/>
                <w:u w:val="none"/>
                <w:shd w:fill="auto" w:val="clear"/>
                <w:vertAlign w:val="baseline"/>
                <w:rtl w:val="0"/>
              </w:rPr>
              <w:t xml:space="preserve">(PMC11736423)</w:t>
            </w:r>
          </w:p>
        </w:tc>
        <w:tc>
          <w:tcPr>
            <w:shd w:fill="auto" w:val="clear"/>
            <w:tcMar>
              <w:top w:w="100.0" w:type="dxa"/>
              <w:left w:w="100.0" w:type="dxa"/>
              <w:bottom w:w="100.0" w:type="dxa"/>
              <w:right w:w="100.0" w:type="dxa"/>
            </w:tcMar>
            <w:vAlign w:val="top"/>
          </w:tcPr>
          <w:p w:rsidR="00000000" w:rsidDel="00000000" w:rsidP="00000000" w:rsidRDefault="00000000" w:rsidRPr="00000000" w14:paraId="000003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0.3997802734375" w:right="0" w:firstLine="0"/>
              <w:jc w:val="left"/>
              <w:rPr>
                <w:rFonts w:ascii="Arial" w:cs="Arial" w:eastAsia="Arial" w:hAnsi="Arial"/>
                <w:b w:val="0"/>
                <w:bCs w:val="0"/>
                <w:i w:val="0"/>
                <w:iCs w:val="0"/>
                <w:smallCaps w:val="0"/>
                <w:strike w:val="0"/>
                <w:color w:val="0645ad"/>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645ad"/>
                <w:sz w:val="16"/>
                <w:szCs w:val="16"/>
                <w:u w:val="none"/>
                <w:shd w:fill="auto" w:val="clear"/>
                <w:vertAlign w:val="baseline"/>
                <w:rtl w:val="0"/>
              </w:rPr>
              <w:t xml:space="preserve">https://pmc.ncbi.nlm.nih.gov/articles/PMC11736423/</w:t>
            </w:r>
          </w:p>
        </w:tc>
      </w:tr>
      <w:tr>
        <w:trPr>
          <w:cantSplit w:val="0"/>
          <w:trHeight w:val="37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3.76007080078125" w:right="0" w:firstLine="0"/>
              <w:jc w:val="left"/>
              <w:rPr>
                <w:rFonts w:ascii="Arial" w:cs="Arial" w:eastAsia="Arial" w:hAnsi="Arial"/>
                <w:b w:val="0"/>
                <w:bCs w:val="0"/>
                <w:i w:val="0"/>
                <w:iCs w:val="0"/>
                <w:smallCaps w:val="0"/>
                <w:strike w:val="0"/>
                <w:color w:val="0645ad"/>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645ad"/>
                <w:sz w:val="16"/>
                <w:szCs w:val="16"/>
                <w:u w:val="none"/>
                <w:shd w:fill="auto" w:val="clear"/>
                <w:vertAlign w:val="baseline"/>
                <w:rtl w:val="0"/>
              </w:rPr>
              <w:t xml:space="preserve">PMC — Aspirin ASPREE Trial (PMC7455352) </w:t>
            </w:r>
          </w:p>
        </w:tc>
        <w:tc>
          <w:tcPr>
            <w:shd w:fill="auto" w:val="clear"/>
            <w:tcMar>
              <w:top w:w="100.0" w:type="dxa"/>
              <w:left w:w="100.0" w:type="dxa"/>
              <w:bottom w:w="100.0" w:type="dxa"/>
              <w:right w:w="100.0" w:type="dxa"/>
            </w:tcMar>
            <w:vAlign w:val="top"/>
          </w:tcPr>
          <w:p w:rsidR="00000000" w:rsidDel="00000000" w:rsidP="00000000" w:rsidRDefault="00000000" w:rsidRPr="00000000" w14:paraId="000003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0.3997802734375" w:right="0" w:firstLine="0"/>
              <w:jc w:val="left"/>
              <w:rPr>
                <w:rFonts w:ascii="Arial" w:cs="Arial" w:eastAsia="Arial" w:hAnsi="Arial"/>
                <w:b w:val="0"/>
                <w:bCs w:val="0"/>
                <w:i w:val="0"/>
                <w:iCs w:val="0"/>
                <w:smallCaps w:val="0"/>
                <w:strike w:val="0"/>
                <w:color w:val="0645ad"/>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645ad"/>
                <w:sz w:val="16"/>
                <w:szCs w:val="16"/>
                <w:u w:val="none"/>
                <w:shd w:fill="auto" w:val="clear"/>
                <w:vertAlign w:val="baseline"/>
                <w:rtl w:val="0"/>
              </w:rPr>
              <w:t xml:space="preserve">https://pmc.ncbi.nlm.nih.gov/articles/PMC7455352/</w:t>
            </w:r>
          </w:p>
        </w:tc>
      </w:tr>
      <w:tr>
        <w:trPr>
          <w:cantSplit w:val="0"/>
          <w:trHeight w:val="37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3.76007080078125" w:right="0" w:firstLine="0"/>
              <w:jc w:val="left"/>
              <w:rPr>
                <w:rFonts w:ascii="Arial" w:cs="Arial" w:eastAsia="Arial" w:hAnsi="Arial"/>
                <w:b w:val="0"/>
                <w:bCs w:val="0"/>
                <w:i w:val="0"/>
                <w:iCs w:val="0"/>
                <w:smallCaps w:val="0"/>
                <w:strike w:val="0"/>
                <w:color w:val="0645ad"/>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645ad"/>
                <w:sz w:val="16"/>
                <w:szCs w:val="16"/>
                <w:u w:val="none"/>
                <w:shd w:fill="auto" w:val="clear"/>
                <w:vertAlign w:val="baseline"/>
                <w:rtl w:val="0"/>
              </w:rPr>
              <w:t xml:space="preserve">PMC — Organophosphate Cohort Study (PMC5798900) </w:t>
            </w:r>
          </w:p>
        </w:tc>
        <w:tc>
          <w:tcPr>
            <w:shd w:fill="auto" w:val="clear"/>
            <w:tcMar>
              <w:top w:w="100.0" w:type="dxa"/>
              <w:left w:w="100.0" w:type="dxa"/>
              <w:bottom w:w="100.0" w:type="dxa"/>
              <w:right w:w="100.0" w:type="dxa"/>
            </w:tcMar>
            <w:vAlign w:val="top"/>
          </w:tcPr>
          <w:p w:rsidR="00000000" w:rsidDel="00000000" w:rsidP="00000000" w:rsidRDefault="00000000" w:rsidRPr="00000000" w14:paraId="000003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0.3997802734375" w:right="0" w:firstLine="0"/>
              <w:jc w:val="left"/>
              <w:rPr>
                <w:rFonts w:ascii="Arial" w:cs="Arial" w:eastAsia="Arial" w:hAnsi="Arial"/>
                <w:b w:val="0"/>
                <w:bCs w:val="0"/>
                <w:i w:val="0"/>
                <w:iCs w:val="0"/>
                <w:smallCaps w:val="0"/>
                <w:strike w:val="0"/>
                <w:color w:val="0645ad"/>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645ad"/>
                <w:sz w:val="16"/>
                <w:szCs w:val="16"/>
                <w:u w:val="none"/>
                <w:shd w:fill="auto" w:val="clear"/>
                <w:vertAlign w:val="baseline"/>
                <w:rtl w:val="0"/>
              </w:rPr>
              <w:t xml:space="preserve">https://pmc.ncbi.nlm.nih.gov/articles/PMC5798900/</w:t>
            </w:r>
          </w:p>
        </w:tc>
      </w:tr>
    </w:tbl>
    <w:p w:rsidR="00000000" w:rsidDel="00000000" w:rsidP="00000000" w:rsidRDefault="00000000" w:rsidRPr="00000000" w14:paraId="000003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31"/>
        <w:tblW w:w="9648.000183105469" w:type="dxa"/>
        <w:jc w:val="left"/>
        <w:tblInd w:w="144.00009155273438"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463.999938964844"/>
        <w:gridCol w:w="5184.000244140625"/>
        <w:tblGridChange w:id="0">
          <w:tblGrid>
            <w:gridCol w:w="4463.999938964844"/>
            <w:gridCol w:w="5184.000244140625"/>
          </w:tblGrid>
        </w:tblGridChange>
      </w:tblGrid>
      <w:tr>
        <w:trPr>
          <w:cantSplit w:val="0"/>
          <w:trHeight w:val="40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7.79998779296875" w:right="0" w:firstLine="0"/>
              <w:jc w:val="left"/>
              <w:rPr>
                <w:rFonts w:ascii="Arial" w:cs="Arial" w:eastAsia="Arial" w:hAnsi="Arial"/>
                <w:b w:val="1"/>
                <w:bCs w:val="1"/>
                <w:i w:val="0"/>
                <w:iCs w:val="0"/>
                <w:smallCaps w:val="0"/>
                <w:strike w:val="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sz w:val="20"/>
                <w:szCs w:val="20"/>
                <w:u w:val="none"/>
                <w:shd w:fill="auto" w:val="clear"/>
                <w:vertAlign w:val="baseline"/>
                <w:rtl w:val="0"/>
              </w:rPr>
              <w:t xml:space="preserve">Source </w:t>
            </w:r>
          </w:p>
        </w:tc>
        <w:tc>
          <w:tcPr>
            <w:shd w:fill="auto" w:val="clear"/>
            <w:tcMar>
              <w:top w:w="100.0" w:type="dxa"/>
              <w:left w:w="100.0" w:type="dxa"/>
              <w:bottom w:w="100.0" w:type="dxa"/>
              <w:right w:w="100.0" w:type="dxa"/>
            </w:tcMar>
            <w:vAlign w:val="top"/>
          </w:tcPr>
          <w:p w:rsidR="00000000" w:rsidDel="00000000" w:rsidP="00000000" w:rsidRDefault="00000000" w:rsidRPr="00000000" w14:paraId="000003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5.2001953125" w:right="0" w:firstLine="0"/>
              <w:jc w:val="left"/>
              <w:rPr>
                <w:rFonts w:ascii="Arial" w:cs="Arial" w:eastAsia="Arial" w:hAnsi="Arial"/>
                <w:b w:val="1"/>
                <w:bCs w:val="1"/>
                <w:i w:val="0"/>
                <w:iCs w:val="0"/>
                <w:smallCaps w:val="0"/>
                <w:strike w:val="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sz w:val="20"/>
                <w:szCs w:val="20"/>
                <w:u w:val="none"/>
                <w:shd w:fill="auto" w:val="clear"/>
                <w:vertAlign w:val="baseline"/>
                <w:rtl w:val="0"/>
              </w:rPr>
              <w:t xml:space="preserve">Link</w:t>
            </w:r>
          </w:p>
        </w:tc>
      </w:tr>
      <w:tr>
        <w:trPr>
          <w:cantSplit w:val="0"/>
          <w:trHeight w:val="58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5.4533290863037" w:lineRule="auto"/>
              <w:ind w:left="115.76004028320312" w:right="334.6405029296875" w:firstLine="2.079925537109375"/>
              <w:jc w:val="left"/>
              <w:rPr>
                <w:rFonts w:ascii="Arial" w:cs="Arial" w:eastAsia="Arial" w:hAnsi="Arial"/>
                <w:b w:val="0"/>
                <w:bCs w:val="0"/>
                <w:i w:val="0"/>
                <w:iCs w:val="0"/>
                <w:smallCaps w:val="0"/>
                <w:strike w:val="0"/>
                <w:color w:val="0645ad"/>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645ad"/>
                <w:sz w:val="16"/>
                <w:szCs w:val="16"/>
                <w:u w:val="none"/>
                <w:shd w:fill="auto" w:val="clear"/>
                <w:vertAlign w:val="baseline"/>
                <w:rtl w:val="0"/>
              </w:rPr>
              <w:t xml:space="preserve">Stanford Medicine — Estrogen-Based Hormone Therapy and Alzheimer's Risk</w:t>
            </w:r>
          </w:p>
        </w:tc>
        <w:tc>
          <w:tcPr>
            <w:shd w:fill="auto" w:val="clear"/>
            <w:tcMar>
              <w:top w:w="100.0" w:type="dxa"/>
              <w:left w:w="100.0" w:type="dxa"/>
              <w:bottom w:w="100.0" w:type="dxa"/>
              <w:right w:w="100.0" w:type="dxa"/>
            </w:tcMar>
            <w:vAlign w:val="top"/>
          </w:tcPr>
          <w:p w:rsidR="00000000" w:rsidDel="00000000" w:rsidP="00000000" w:rsidRDefault="00000000" w:rsidRPr="00000000" w14:paraId="000003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5.4533290863037" w:lineRule="auto"/>
              <w:ind w:left="115.7598876953125" w:right="129.521484375" w:firstLine="4.639892578125"/>
              <w:jc w:val="left"/>
              <w:rPr>
                <w:rFonts w:ascii="Arial" w:cs="Arial" w:eastAsia="Arial" w:hAnsi="Arial"/>
                <w:b w:val="0"/>
                <w:bCs w:val="0"/>
                <w:i w:val="0"/>
                <w:iCs w:val="0"/>
                <w:smallCaps w:val="0"/>
                <w:strike w:val="0"/>
                <w:color w:val="0645ad"/>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645ad"/>
                <w:sz w:val="16"/>
                <w:szCs w:val="16"/>
                <w:u w:val="none"/>
                <w:shd w:fill="auto" w:val="clear"/>
                <w:vertAlign w:val="baseline"/>
                <w:rtl w:val="0"/>
              </w:rPr>
              <w:t xml:space="preserve">https://med.stanford.edu/news/all-news/2026/08/study-ties-estrogen-b ased-menopausal-hormone-therapy-to-lower-al.html</w:t>
            </w:r>
          </w:p>
        </w:tc>
      </w:tr>
      <w:tr>
        <w:trPr>
          <w:cantSplit w:val="0"/>
          <w:trHeight w:val="58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7.8399658203125" w:right="0" w:firstLine="0"/>
              <w:jc w:val="left"/>
              <w:rPr>
                <w:rFonts w:ascii="Arial" w:cs="Arial" w:eastAsia="Arial" w:hAnsi="Arial"/>
                <w:b w:val="0"/>
                <w:bCs w:val="0"/>
                <w:i w:val="0"/>
                <w:iCs w:val="0"/>
                <w:smallCaps w:val="0"/>
                <w:strike w:val="0"/>
                <w:color w:val="0645ad"/>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645ad"/>
                <w:sz w:val="16"/>
                <w:szCs w:val="16"/>
                <w:u w:val="none"/>
                <w:shd w:fill="auto" w:val="clear"/>
                <w:vertAlign w:val="baseline"/>
                <w:rtl w:val="0"/>
              </w:rPr>
              <w:t xml:space="preserve">ScienceDirect — Ketogenic Diet Trial Data </w:t>
            </w:r>
          </w:p>
        </w:tc>
        <w:tc>
          <w:tcPr>
            <w:shd w:fill="auto" w:val="clear"/>
            <w:tcMar>
              <w:top w:w="100.0" w:type="dxa"/>
              <w:left w:w="100.0" w:type="dxa"/>
              <w:bottom w:w="100.0" w:type="dxa"/>
              <w:right w:w="100.0" w:type="dxa"/>
            </w:tcMar>
            <w:vAlign w:val="top"/>
          </w:tcPr>
          <w:p w:rsidR="00000000" w:rsidDel="00000000" w:rsidP="00000000" w:rsidRDefault="00000000" w:rsidRPr="00000000" w14:paraId="000003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5.4533290863037" w:lineRule="auto"/>
              <w:ind w:left="116.0797119140625" w:right="174.161376953125" w:firstLine="4.320068359375"/>
              <w:jc w:val="left"/>
              <w:rPr>
                <w:rFonts w:ascii="Arial" w:cs="Arial" w:eastAsia="Arial" w:hAnsi="Arial"/>
                <w:b w:val="0"/>
                <w:bCs w:val="0"/>
                <w:i w:val="0"/>
                <w:iCs w:val="0"/>
                <w:smallCaps w:val="0"/>
                <w:strike w:val="0"/>
                <w:color w:val="0645ad"/>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645ad"/>
                <w:sz w:val="16"/>
                <w:szCs w:val="16"/>
                <w:u w:val="none"/>
                <w:shd w:fill="auto" w:val="clear"/>
                <w:vertAlign w:val="baseline"/>
                <w:rtl w:val="0"/>
              </w:rPr>
              <w:t xml:space="preserve">https://www.sciencedirect.com/science/article/pii/S235287371830049 0</w:t>
            </w:r>
          </w:p>
        </w:tc>
      </w:tr>
      <w:tr>
        <w:trPr>
          <w:cantSplit w:val="0"/>
          <w:trHeight w:val="37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3.76007080078125" w:right="0" w:firstLine="0"/>
              <w:jc w:val="left"/>
              <w:rPr>
                <w:rFonts w:ascii="Arial" w:cs="Arial" w:eastAsia="Arial" w:hAnsi="Arial"/>
                <w:b w:val="0"/>
                <w:bCs w:val="0"/>
                <w:i w:val="0"/>
                <w:iCs w:val="0"/>
                <w:smallCaps w:val="0"/>
                <w:strike w:val="0"/>
                <w:color w:val="0645ad"/>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645ad"/>
                <w:sz w:val="16"/>
                <w:szCs w:val="16"/>
                <w:u w:val="none"/>
                <w:shd w:fill="auto" w:val="clear"/>
                <w:vertAlign w:val="baseline"/>
                <w:rtl w:val="0"/>
              </w:rPr>
              <w:t xml:space="preserve">PubMed — Cognitive Decline Study (PMID 31241312) </w:t>
            </w:r>
          </w:p>
        </w:tc>
        <w:tc>
          <w:tcPr>
            <w:shd w:fill="auto" w:val="clear"/>
            <w:tcMar>
              <w:top w:w="100.0" w:type="dxa"/>
              <w:left w:w="100.0" w:type="dxa"/>
              <w:bottom w:w="100.0" w:type="dxa"/>
              <w:right w:w="100.0" w:type="dxa"/>
            </w:tcMar>
            <w:vAlign w:val="top"/>
          </w:tcPr>
          <w:p w:rsidR="00000000" w:rsidDel="00000000" w:rsidP="00000000" w:rsidRDefault="00000000" w:rsidRPr="00000000" w14:paraId="000003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0.3997802734375" w:right="0" w:firstLine="0"/>
              <w:jc w:val="left"/>
              <w:rPr>
                <w:rFonts w:ascii="Arial" w:cs="Arial" w:eastAsia="Arial" w:hAnsi="Arial"/>
                <w:b w:val="0"/>
                <w:bCs w:val="0"/>
                <w:i w:val="0"/>
                <w:iCs w:val="0"/>
                <w:smallCaps w:val="0"/>
                <w:strike w:val="0"/>
                <w:color w:val="0645ad"/>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645ad"/>
                <w:sz w:val="16"/>
                <w:szCs w:val="16"/>
                <w:u w:val="none"/>
                <w:shd w:fill="auto" w:val="clear"/>
                <w:vertAlign w:val="baseline"/>
                <w:rtl w:val="0"/>
              </w:rPr>
              <w:t xml:space="preserve">https://pubmed.ncbi.nlm.nih.gov/31241312/</w:t>
            </w:r>
          </w:p>
        </w:tc>
      </w:tr>
      <w:tr>
        <w:trPr>
          <w:cantSplit w:val="0"/>
          <w:trHeight w:val="58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5.4533290863037" w:lineRule="auto"/>
              <w:ind w:left="115.4400634765625" w:right="744.0802001953125" w:firstLine="8.32000732421875"/>
              <w:jc w:val="left"/>
              <w:rPr>
                <w:rFonts w:ascii="Arial" w:cs="Arial" w:eastAsia="Arial" w:hAnsi="Arial"/>
                <w:b w:val="0"/>
                <w:bCs w:val="0"/>
                <w:i w:val="0"/>
                <w:iCs w:val="0"/>
                <w:smallCaps w:val="0"/>
                <w:strike w:val="0"/>
                <w:color w:val="0645ad"/>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645ad"/>
                <w:sz w:val="16"/>
                <w:szCs w:val="16"/>
                <w:u w:val="none"/>
                <w:shd w:fill="auto" w:val="clear"/>
                <w:vertAlign w:val="baseline"/>
                <w:rtl w:val="0"/>
              </w:rPr>
              <w:t xml:space="preserve">PubMed — Chlamydia Pneumoniae Review (PMID 31626972)</w:t>
            </w:r>
          </w:p>
        </w:tc>
        <w:tc>
          <w:tcPr>
            <w:shd w:fill="auto" w:val="clear"/>
            <w:tcMar>
              <w:top w:w="100.0" w:type="dxa"/>
              <w:left w:w="100.0" w:type="dxa"/>
              <w:bottom w:w="100.0" w:type="dxa"/>
              <w:right w:w="100.0" w:type="dxa"/>
            </w:tcMar>
            <w:vAlign w:val="top"/>
          </w:tcPr>
          <w:p w:rsidR="00000000" w:rsidDel="00000000" w:rsidP="00000000" w:rsidRDefault="00000000" w:rsidRPr="00000000" w14:paraId="000003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0.3997802734375" w:right="0" w:firstLine="0"/>
              <w:jc w:val="left"/>
              <w:rPr>
                <w:rFonts w:ascii="Arial" w:cs="Arial" w:eastAsia="Arial" w:hAnsi="Arial"/>
                <w:b w:val="0"/>
                <w:bCs w:val="0"/>
                <w:i w:val="0"/>
                <w:iCs w:val="0"/>
                <w:smallCaps w:val="0"/>
                <w:strike w:val="0"/>
                <w:color w:val="0645ad"/>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645ad"/>
                <w:sz w:val="16"/>
                <w:szCs w:val="16"/>
                <w:u w:val="none"/>
                <w:shd w:fill="auto" w:val="clear"/>
                <w:vertAlign w:val="baseline"/>
                <w:rtl w:val="0"/>
              </w:rPr>
              <w:t xml:space="preserve">https://pubmed.ncbi.nlm.nih.gov/31626972/</w:t>
            </w:r>
          </w:p>
        </w:tc>
      </w:tr>
      <w:tr>
        <w:trPr>
          <w:cantSplit w:val="0"/>
          <w:trHeight w:val="58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5.4533290863037" w:lineRule="auto"/>
              <w:ind w:left="122.96005249023438" w:right="530.6402587890625" w:hanging="0.800018310546875"/>
              <w:jc w:val="left"/>
              <w:rPr>
                <w:rFonts w:ascii="Arial" w:cs="Arial" w:eastAsia="Arial" w:hAnsi="Arial"/>
                <w:b w:val="0"/>
                <w:bCs w:val="0"/>
                <w:i w:val="0"/>
                <w:iCs w:val="0"/>
                <w:smallCaps w:val="0"/>
                <w:strike w:val="0"/>
                <w:color w:val="0645ad"/>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645ad"/>
                <w:sz w:val="16"/>
                <w:szCs w:val="16"/>
                <w:u w:val="none"/>
                <w:shd w:fill="auto" w:val="clear"/>
                <w:vertAlign w:val="baseline"/>
                <w:rtl w:val="0"/>
              </w:rPr>
              <w:t xml:space="preserve">Nutrition Insight — Fasting and Time-Restricted Diets, Dementia Risk</w:t>
            </w:r>
          </w:p>
        </w:tc>
        <w:tc>
          <w:tcPr>
            <w:shd w:fill="auto" w:val="clear"/>
            <w:tcMar>
              <w:top w:w="100.0" w:type="dxa"/>
              <w:left w:w="100.0" w:type="dxa"/>
              <w:bottom w:w="100.0" w:type="dxa"/>
              <w:right w:w="100.0" w:type="dxa"/>
            </w:tcMar>
            <w:vAlign w:val="top"/>
          </w:tcPr>
          <w:p w:rsidR="00000000" w:rsidDel="00000000" w:rsidP="00000000" w:rsidRDefault="00000000" w:rsidRPr="00000000" w14:paraId="000003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5.4533290863037" w:lineRule="auto"/>
              <w:ind w:left="120.3997802734375" w:right="201.52099609375" w:firstLine="0"/>
              <w:jc w:val="left"/>
              <w:rPr>
                <w:rFonts w:ascii="Arial" w:cs="Arial" w:eastAsia="Arial" w:hAnsi="Arial"/>
                <w:b w:val="0"/>
                <w:bCs w:val="0"/>
                <w:i w:val="0"/>
                <w:iCs w:val="0"/>
                <w:smallCaps w:val="0"/>
                <w:strike w:val="0"/>
                <w:color w:val="0645ad"/>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645ad"/>
                <w:sz w:val="16"/>
                <w:szCs w:val="16"/>
                <w:u w:val="none"/>
                <w:shd w:fill="auto" w:val="clear"/>
                <w:vertAlign w:val="baseline"/>
                <w:rtl w:val="0"/>
              </w:rPr>
              <w:t xml:space="preserve">https://www.nutritioninsight.com/news/fasting-time-restricted-diets-de mentia-brain-health.html</w:t>
            </w:r>
          </w:p>
        </w:tc>
      </w:tr>
      <w:tr>
        <w:trPr>
          <w:cantSplit w:val="0"/>
          <w:trHeight w:val="58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5.4533290863037" w:lineRule="auto"/>
              <w:ind w:left="120.72006225585938" w:right="89.8406982421875" w:firstLine="1.439971923828125"/>
              <w:jc w:val="left"/>
              <w:rPr>
                <w:rFonts w:ascii="Arial" w:cs="Arial" w:eastAsia="Arial" w:hAnsi="Arial"/>
                <w:b w:val="0"/>
                <w:bCs w:val="0"/>
                <w:i w:val="0"/>
                <w:iCs w:val="0"/>
                <w:smallCaps w:val="0"/>
                <w:strike w:val="0"/>
                <w:color w:val="0645ad"/>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645ad"/>
                <w:sz w:val="16"/>
                <w:szCs w:val="16"/>
                <w:u w:val="none"/>
                <w:shd w:fill="auto" w:val="clear"/>
                <w:vertAlign w:val="baseline"/>
                <w:rtl w:val="0"/>
              </w:rPr>
              <w:t xml:space="preserve">News-Medical — Time-Restricted Eating and Dementia Risk in Older Women</w:t>
            </w:r>
          </w:p>
        </w:tc>
        <w:tc>
          <w:tcPr>
            <w:shd w:fill="auto" w:val="clear"/>
            <w:tcMar>
              <w:top w:w="100.0" w:type="dxa"/>
              <w:left w:w="100.0" w:type="dxa"/>
              <w:bottom w:w="100.0" w:type="dxa"/>
              <w:right w:w="100.0" w:type="dxa"/>
            </w:tcMar>
            <w:vAlign w:val="top"/>
          </w:tcPr>
          <w:p w:rsidR="00000000" w:rsidDel="00000000" w:rsidP="00000000" w:rsidRDefault="00000000" w:rsidRPr="00000000" w14:paraId="000003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2.3950004577637" w:lineRule="auto"/>
              <w:ind w:left="120.3997802734375" w:right="137.200927734375" w:firstLine="0"/>
              <w:jc w:val="left"/>
              <w:rPr>
                <w:rFonts w:ascii="Arial" w:cs="Arial" w:eastAsia="Arial" w:hAnsi="Arial"/>
                <w:b w:val="0"/>
                <w:bCs w:val="0"/>
                <w:i w:val="0"/>
                <w:iCs w:val="0"/>
                <w:smallCaps w:val="0"/>
                <w:strike w:val="0"/>
                <w:color w:val="0645ad"/>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645ad"/>
                <w:sz w:val="16"/>
                <w:szCs w:val="16"/>
                <w:u w:val="none"/>
                <w:shd w:fill="auto" w:val="clear"/>
                <w:vertAlign w:val="baseline"/>
                <w:rtl w:val="0"/>
              </w:rPr>
              <w:t xml:space="preserve">https://www.news-medical.net/news/20260726/Time-restricted-eating may-help-lower-dementia-risk-in-older-women.aspx</w:t>
            </w:r>
          </w:p>
        </w:tc>
      </w:tr>
      <w:tr>
        <w:trPr>
          <w:cantSplit w:val="0"/>
          <w:trHeight w:val="58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5.4533290863037" w:lineRule="auto"/>
              <w:ind w:left="123.76007080078125" w:right="500.08056640625" w:hanging="11.52008056640625"/>
              <w:jc w:val="left"/>
              <w:rPr>
                <w:rFonts w:ascii="Arial" w:cs="Arial" w:eastAsia="Arial" w:hAnsi="Arial"/>
                <w:b w:val="0"/>
                <w:bCs w:val="0"/>
                <w:i w:val="0"/>
                <w:iCs w:val="0"/>
                <w:smallCaps w:val="0"/>
                <w:strike w:val="0"/>
                <w:color w:val="0645ad"/>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645ad"/>
                <w:sz w:val="16"/>
                <w:szCs w:val="16"/>
                <w:u w:val="none"/>
                <w:shd w:fill="auto" w:val="clear"/>
                <w:vertAlign w:val="baseline"/>
                <w:rtl w:val="0"/>
              </w:rPr>
              <w:t xml:space="preserve">Alzheimer's Drug Discovery Foundation — Intermittent Fasting and Dementia</w:t>
            </w:r>
          </w:p>
        </w:tc>
        <w:tc>
          <w:tcPr>
            <w:shd w:fill="auto" w:val="clear"/>
            <w:tcMar>
              <w:top w:w="100.0" w:type="dxa"/>
              <w:left w:w="100.0" w:type="dxa"/>
              <w:bottom w:w="100.0" w:type="dxa"/>
              <w:right w:w="100.0" w:type="dxa"/>
            </w:tcMar>
            <w:vAlign w:val="top"/>
          </w:tcPr>
          <w:p w:rsidR="00000000" w:rsidDel="00000000" w:rsidP="00000000" w:rsidRDefault="00000000" w:rsidRPr="00000000" w14:paraId="000003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5.4533290863037" w:lineRule="auto"/>
              <w:ind w:left="112.239990234375" w:right="112.56103515625" w:firstLine="8.1597900390625"/>
              <w:jc w:val="left"/>
              <w:rPr>
                <w:rFonts w:ascii="Arial" w:cs="Arial" w:eastAsia="Arial" w:hAnsi="Arial"/>
                <w:b w:val="0"/>
                <w:bCs w:val="0"/>
                <w:i w:val="0"/>
                <w:iCs w:val="0"/>
                <w:smallCaps w:val="0"/>
                <w:strike w:val="0"/>
                <w:color w:val="0645ad"/>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645ad"/>
                <w:sz w:val="16"/>
                <w:szCs w:val="16"/>
                <w:u w:val="none"/>
                <w:shd w:fill="auto" w:val="clear"/>
                <w:vertAlign w:val="baseline"/>
                <w:rtl w:val="0"/>
              </w:rPr>
              <w:t xml:space="preserve">https://www.alzdiscovery.org/cognitive-vitality/blog/can-intermittent-fas ting-help-prevent-dementia</w:t>
            </w:r>
          </w:p>
        </w:tc>
      </w:tr>
      <w:tr>
        <w:trPr>
          <w:cantSplit w:val="0"/>
          <w:trHeight w:val="37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72003173828125" w:right="0" w:firstLine="0"/>
              <w:jc w:val="left"/>
              <w:rPr>
                <w:rFonts w:ascii="Arial" w:cs="Arial" w:eastAsia="Arial" w:hAnsi="Arial"/>
                <w:b w:val="0"/>
                <w:bCs w:val="0"/>
                <w:i w:val="0"/>
                <w:iCs w:val="0"/>
                <w:smallCaps w:val="0"/>
                <w:strike w:val="0"/>
                <w:color w:val="0645ad"/>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645ad"/>
                <w:sz w:val="16"/>
                <w:szCs w:val="16"/>
                <w:u w:val="none"/>
                <w:shd w:fill="auto" w:val="clear"/>
                <w:vertAlign w:val="baseline"/>
                <w:rtl w:val="0"/>
              </w:rPr>
              <w:t xml:space="preserve">Journal of Nutrition — Protein Intake and Aging (fulltext) </w:t>
            </w:r>
          </w:p>
        </w:tc>
        <w:tc>
          <w:tcPr>
            <w:shd w:fill="auto" w:val="clear"/>
            <w:tcMar>
              <w:top w:w="100.0" w:type="dxa"/>
              <w:left w:w="100.0" w:type="dxa"/>
              <w:bottom w:w="100.0" w:type="dxa"/>
              <w:right w:w="100.0" w:type="dxa"/>
            </w:tcMar>
            <w:vAlign w:val="top"/>
          </w:tcPr>
          <w:p w:rsidR="00000000" w:rsidDel="00000000" w:rsidP="00000000" w:rsidRDefault="00000000" w:rsidRPr="00000000" w14:paraId="000003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0.3997802734375" w:right="0" w:firstLine="0"/>
              <w:jc w:val="left"/>
              <w:rPr>
                <w:rFonts w:ascii="Arial" w:cs="Arial" w:eastAsia="Arial" w:hAnsi="Arial"/>
                <w:b w:val="0"/>
                <w:bCs w:val="0"/>
                <w:i w:val="0"/>
                <w:iCs w:val="0"/>
                <w:smallCaps w:val="0"/>
                <w:strike w:val="0"/>
                <w:color w:val="0645ad"/>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645ad"/>
                <w:sz w:val="16"/>
                <w:szCs w:val="16"/>
                <w:u w:val="none"/>
                <w:shd w:fill="auto" w:val="clear"/>
                <w:vertAlign w:val="baseline"/>
                <w:rtl w:val="0"/>
              </w:rPr>
              <w:t xml:space="preserve">https://jn.nutrition.org/article/S0022-3166(24)00289-X/fulltext</w:t>
            </w:r>
          </w:p>
        </w:tc>
      </w:tr>
      <w:tr>
        <w:trPr>
          <w:cantSplit w:val="0"/>
          <w:trHeight w:val="58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3199462890625" w:right="0" w:firstLine="0"/>
              <w:jc w:val="left"/>
              <w:rPr>
                <w:rFonts w:ascii="Arial" w:cs="Arial" w:eastAsia="Arial" w:hAnsi="Arial"/>
                <w:b w:val="0"/>
                <w:bCs w:val="0"/>
                <w:i w:val="0"/>
                <w:iCs w:val="0"/>
                <w:smallCaps w:val="0"/>
                <w:strike w:val="0"/>
                <w:color w:val="0645ad"/>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645ad"/>
                <w:sz w:val="16"/>
                <w:szCs w:val="16"/>
                <w:u w:val="none"/>
                <w:shd w:fill="auto" w:val="clear"/>
                <w:vertAlign w:val="baseline"/>
                <w:rtl w:val="0"/>
              </w:rPr>
              <w:t xml:space="preserve">Hopkins Medicine — Dementia Overview </w:t>
            </w:r>
          </w:p>
        </w:tc>
        <w:tc>
          <w:tcPr>
            <w:shd w:fill="auto" w:val="clear"/>
            <w:tcMar>
              <w:top w:w="100.0" w:type="dxa"/>
              <w:left w:w="100.0" w:type="dxa"/>
              <w:bottom w:w="100.0" w:type="dxa"/>
              <w:right w:w="100.0" w:type="dxa"/>
            </w:tcMar>
            <w:vAlign w:val="top"/>
          </w:tcPr>
          <w:p w:rsidR="00000000" w:rsidDel="00000000" w:rsidP="00000000" w:rsidRDefault="00000000" w:rsidRPr="00000000" w14:paraId="000004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5.4533290863037" w:lineRule="auto"/>
              <w:ind w:left="116.400146484375" w:right="129.84130859375" w:firstLine="3.9996337890625"/>
              <w:jc w:val="left"/>
              <w:rPr>
                <w:rFonts w:ascii="Arial" w:cs="Arial" w:eastAsia="Arial" w:hAnsi="Arial"/>
                <w:b w:val="0"/>
                <w:bCs w:val="0"/>
                <w:i w:val="0"/>
                <w:iCs w:val="0"/>
                <w:smallCaps w:val="0"/>
                <w:strike w:val="0"/>
                <w:color w:val="0645ad"/>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645ad"/>
                <w:sz w:val="16"/>
                <w:szCs w:val="16"/>
                <w:u w:val="none"/>
                <w:shd w:fill="auto" w:val="clear"/>
                <w:vertAlign w:val="baseline"/>
                <w:rtl w:val="0"/>
              </w:rPr>
              <w:t xml:space="preserve">https://www.hopkinsmedicine.org/health/conditions-and-diseases/dem entia</w:t>
            </w:r>
          </w:p>
        </w:tc>
      </w:tr>
      <w:tr>
        <w:trPr>
          <w:cantSplit w:val="0"/>
          <w:trHeight w:val="58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3199462890625" w:right="0" w:firstLine="0"/>
              <w:jc w:val="left"/>
              <w:rPr>
                <w:rFonts w:ascii="Arial" w:cs="Arial" w:eastAsia="Arial" w:hAnsi="Arial"/>
                <w:b w:val="0"/>
                <w:bCs w:val="0"/>
                <w:i w:val="0"/>
                <w:iCs w:val="0"/>
                <w:smallCaps w:val="0"/>
                <w:strike w:val="0"/>
                <w:color w:val="0645ad"/>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645ad"/>
                <w:sz w:val="16"/>
                <w:szCs w:val="16"/>
                <w:u w:val="none"/>
                <w:shd w:fill="auto" w:val="clear"/>
                <w:vertAlign w:val="baseline"/>
                <w:rtl w:val="0"/>
              </w:rPr>
              <w:t xml:space="preserve">Hopkins Medicine — Alzheimer's Disease Overview </w:t>
            </w:r>
          </w:p>
        </w:tc>
        <w:tc>
          <w:tcPr>
            <w:shd w:fill="auto" w:val="clear"/>
            <w:tcMar>
              <w:top w:w="100.0" w:type="dxa"/>
              <w:left w:w="100.0" w:type="dxa"/>
              <w:bottom w:w="100.0" w:type="dxa"/>
              <w:right w:w="100.0" w:type="dxa"/>
            </w:tcMar>
            <w:vAlign w:val="top"/>
          </w:tcPr>
          <w:p w:rsidR="00000000" w:rsidDel="00000000" w:rsidP="00000000" w:rsidRDefault="00000000" w:rsidRPr="00000000" w14:paraId="000004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5.4533290863037" w:lineRule="auto"/>
              <w:ind w:left="116.400146484375" w:right="147.601318359375" w:firstLine="3.9996337890625"/>
              <w:jc w:val="left"/>
              <w:rPr>
                <w:rFonts w:ascii="Arial" w:cs="Arial" w:eastAsia="Arial" w:hAnsi="Arial"/>
                <w:b w:val="0"/>
                <w:bCs w:val="0"/>
                <w:i w:val="0"/>
                <w:iCs w:val="0"/>
                <w:smallCaps w:val="0"/>
                <w:strike w:val="0"/>
                <w:color w:val="0645ad"/>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645ad"/>
                <w:sz w:val="16"/>
                <w:szCs w:val="16"/>
                <w:u w:val="none"/>
                <w:shd w:fill="auto" w:val="clear"/>
                <w:vertAlign w:val="baseline"/>
                <w:rtl w:val="0"/>
              </w:rPr>
              <w:t xml:space="preserve">https://www.hopkinsmedicine.org/health/conditions-and-diseases/alzh eimers-disease</w:t>
            </w:r>
          </w:p>
        </w:tc>
      </w:tr>
      <w:tr>
        <w:trPr>
          <w:cantSplit w:val="0"/>
          <w:trHeight w:val="58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5.4533290863037" w:lineRule="auto"/>
              <w:ind w:left="124.5599365234375" w:right="206.800537109375" w:hanging="12.3199462890625"/>
              <w:jc w:val="left"/>
              <w:rPr>
                <w:rFonts w:ascii="Arial" w:cs="Arial" w:eastAsia="Arial" w:hAnsi="Arial"/>
                <w:b w:val="0"/>
                <w:bCs w:val="0"/>
                <w:i w:val="0"/>
                <w:iCs w:val="0"/>
                <w:smallCaps w:val="0"/>
                <w:strike w:val="0"/>
                <w:color w:val="0645ad"/>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645ad"/>
                <w:sz w:val="16"/>
                <w:szCs w:val="16"/>
                <w:u w:val="none"/>
                <w:shd w:fill="auto" w:val="clear"/>
                <w:vertAlign w:val="baseline"/>
                <w:rtl w:val="0"/>
              </w:rPr>
              <w:t xml:space="preserve">Alzheimer's &amp; Dementia: Translational Research &amp; Clinical Interventions — DOI 10.1002/trc2.70197</w:t>
            </w:r>
          </w:p>
        </w:tc>
        <w:tc>
          <w:tcPr>
            <w:shd w:fill="auto" w:val="clear"/>
            <w:tcMar>
              <w:top w:w="100.0" w:type="dxa"/>
              <w:left w:w="100.0" w:type="dxa"/>
              <w:bottom w:w="100.0" w:type="dxa"/>
              <w:right w:w="100.0" w:type="dxa"/>
            </w:tcMar>
            <w:vAlign w:val="top"/>
          </w:tcPr>
          <w:p w:rsidR="00000000" w:rsidDel="00000000" w:rsidP="00000000" w:rsidRDefault="00000000" w:rsidRPr="00000000" w14:paraId="000004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0.3997802734375" w:right="0" w:firstLine="0"/>
              <w:jc w:val="left"/>
              <w:rPr>
                <w:rFonts w:ascii="Arial" w:cs="Arial" w:eastAsia="Arial" w:hAnsi="Arial"/>
                <w:b w:val="0"/>
                <w:bCs w:val="0"/>
                <w:i w:val="0"/>
                <w:iCs w:val="0"/>
                <w:smallCaps w:val="0"/>
                <w:strike w:val="0"/>
                <w:color w:val="0645ad"/>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645ad"/>
                <w:sz w:val="16"/>
                <w:szCs w:val="16"/>
                <w:u w:val="none"/>
                <w:shd w:fill="auto" w:val="clear"/>
                <w:vertAlign w:val="baseline"/>
                <w:rtl w:val="0"/>
              </w:rPr>
              <w:t xml:space="preserve">https://doi.org/10.1002/trc2.70197</w:t>
            </w:r>
          </w:p>
        </w:tc>
      </w:tr>
      <w:tr>
        <w:trPr>
          <w:cantSplit w:val="0"/>
          <w:trHeight w:val="58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5.4533290863037" w:lineRule="auto"/>
              <w:ind w:left="122.96005249023438" w:right="352.880859375" w:hanging="0.319976806640625"/>
              <w:jc w:val="left"/>
              <w:rPr>
                <w:rFonts w:ascii="Arial" w:cs="Arial" w:eastAsia="Arial" w:hAnsi="Arial"/>
                <w:b w:val="0"/>
                <w:bCs w:val="0"/>
                <w:i w:val="0"/>
                <w:iCs w:val="0"/>
                <w:smallCaps w:val="0"/>
                <w:strike w:val="0"/>
                <w:color w:val="0645ad"/>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645ad"/>
                <w:sz w:val="16"/>
                <w:szCs w:val="16"/>
                <w:u w:val="none"/>
                <w:shd w:fill="auto" w:val="clear"/>
                <w:vertAlign w:val="baseline"/>
                <w:rtl w:val="0"/>
              </w:rPr>
              <w:t xml:space="preserve">University of Cambridge — Why More Education Lowers Dementia Risk</w:t>
            </w:r>
          </w:p>
        </w:tc>
        <w:tc>
          <w:tcPr>
            <w:shd w:fill="auto" w:val="clear"/>
            <w:tcMar>
              <w:top w:w="100.0" w:type="dxa"/>
              <w:left w:w="100.0" w:type="dxa"/>
              <w:bottom w:w="100.0" w:type="dxa"/>
              <w:right w:w="100.0" w:type="dxa"/>
            </w:tcMar>
            <w:vAlign w:val="top"/>
          </w:tcPr>
          <w:p w:rsidR="00000000" w:rsidDel="00000000" w:rsidP="00000000" w:rsidRDefault="00000000" w:rsidRPr="00000000" w14:paraId="000004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5.4533290863037" w:lineRule="auto"/>
              <w:ind w:left="120.3997802734375" w:right="148.240966796875" w:firstLine="0"/>
              <w:jc w:val="left"/>
              <w:rPr>
                <w:rFonts w:ascii="Arial" w:cs="Arial" w:eastAsia="Arial" w:hAnsi="Arial"/>
                <w:b w:val="0"/>
                <w:bCs w:val="0"/>
                <w:i w:val="0"/>
                <w:iCs w:val="0"/>
                <w:smallCaps w:val="0"/>
                <w:strike w:val="0"/>
                <w:color w:val="0645ad"/>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645ad"/>
                <w:sz w:val="16"/>
                <w:szCs w:val="16"/>
                <w:u w:val="none"/>
                <w:shd w:fill="auto" w:val="clear"/>
                <w:vertAlign w:val="baseline"/>
                <w:rtl w:val="0"/>
              </w:rPr>
              <w:t xml:space="preserve">https://www.cam.ac.uk/research/news/why-more-education-lowers-de mentia-risk</w:t>
            </w:r>
          </w:p>
        </w:tc>
      </w:tr>
      <w:tr>
        <w:trPr>
          <w:cantSplit w:val="0"/>
          <w:trHeight w:val="58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5.4533290863037" w:lineRule="auto"/>
              <w:ind w:left="115.4400634765625" w:right="251.12060546875" w:firstLine="8.32000732421875"/>
              <w:jc w:val="left"/>
              <w:rPr>
                <w:rFonts w:ascii="Arial" w:cs="Arial" w:eastAsia="Arial" w:hAnsi="Arial"/>
                <w:b w:val="0"/>
                <w:bCs w:val="0"/>
                <w:i w:val="0"/>
                <w:iCs w:val="0"/>
                <w:smallCaps w:val="0"/>
                <w:strike w:val="0"/>
                <w:color w:val="0645ad"/>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645ad"/>
                <w:sz w:val="16"/>
                <w:szCs w:val="16"/>
                <w:u w:val="none"/>
                <w:shd w:fill="auto" w:val="clear"/>
                <w:vertAlign w:val="baseline"/>
                <w:rtl w:val="0"/>
              </w:rPr>
              <w:t xml:space="preserve">PubMed — Gut Microbiome and Alzheimer's Study (PMID 39201303)</w:t>
            </w:r>
          </w:p>
        </w:tc>
        <w:tc>
          <w:tcPr>
            <w:shd w:fill="auto" w:val="clear"/>
            <w:tcMar>
              <w:top w:w="100.0" w:type="dxa"/>
              <w:left w:w="100.0" w:type="dxa"/>
              <w:bottom w:w="100.0" w:type="dxa"/>
              <w:right w:w="100.0" w:type="dxa"/>
            </w:tcMar>
            <w:vAlign w:val="top"/>
          </w:tcPr>
          <w:p w:rsidR="00000000" w:rsidDel="00000000" w:rsidP="00000000" w:rsidRDefault="00000000" w:rsidRPr="00000000" w14:paraId="000004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0.3997802734375" w:right="0" w:firstLine="0"/>
              <w:jc w:val="left"/>
              <w:rPr>
                <w:rFonts w:ascii="Arial" w:cs="Arial" w:eastAsia="Arial" w:hAnsi="Arial"/>
                <w:b w:val="0"/>
                <w:bCs w:val="0"/>
                <w:i w:val="0"/>
                <w:iCs w:val="0"/>
                <w:smallCaps w:val="0"/>
                <w:strike w:val="0"/>
                <w:color w:val="0645ad"/>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645ad"/>
                <w:sz w:val="16"/>
                <w:szCs w:val="16"/>
                <w:u w:val="none"/>
                <w:shd w:fill="auto" w:val="clear"/>
                <w:vertAlign w:val="baseline"/>
                <w:rtl w:val="0"/>
              </w:rPr>
              <w:t xml:space="preserve">https://pubmed.ncbi.nlm.nih.gov/39201303/</w:t>
            </w:r>
          </w:p>
        </w:tc>
      </w:tr>
      <w:tr>
        <w:trPr>
          <w:cantSplit w:val="0"/>
          <w:trHeight w:val="37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3.76007080078125" w:right="0" w:firstLine="0"/>
              <w:jc w:val="left"/>
              <w:rPr>
                <w:rFonts w:ascii="Arial" w:cs="Arial" w:eastAsia="Arial" w:hAnsi="Arial"/>
                <w:b w:val="0"/>
                <w:bCs w:val="0"/>
                <w:i w:val="0"/>
                <w:iCs w:val="0"/>
                <w:smallCaps w:val="0"/>
                <w:strike w:val="0"/>
                <w:color w:val="0645ad"/>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645ad"/>
                <w:sz w:val="16"/>
                <w:szCs w:val="16"/>
                <w:u w:val="none"/>
                <w:shd w:fill="auto" w:val="clear"/>
                <w:vertAlign w:val="baseline"/>
                <w:rtl w:val="0"/>
              </w:rPr>
              <w:t xml:space="preserve">PubMed — Study PMID 41269248 </w:t>
            </w:r>
          </w:p>
        </w:tc>
        <w:tc>
          <w:tcPr>
            <w:shd w:fill="auto" w:val="clear"/>
            <w:tcMar>
              <w:top w:w="100.0" w:type="dxa"/>
              <w:left w:w="100.0" w:type="dxa"/>
              <w:bottom w:w="100.0" w:type="dxa"/>
              <w:right w:w="100.0" w:type="dxa"/>
            </w:tcMar>
            <w:vAlign w:val="top"/>
          </w:tcPr>
          <w:p w:rsidR="00000000" w:rsidDel="00000000" w:rsidP="00000000" w:rsidRDefault="00000000" w:rsidRPr="00000000" w14:paraId="000004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0.3997802734375" w:right="0" w:firstLine="0"/>
              <w:jc w:val="left"/>
              <w:rPr>
                <w:rFonts w:ascii="Arial" w:cs="Arial" w:eastAsia="Arial" w:hAnsi="Arial"/>
                <w:b w:val="0"/>
                <w:bCs w:val="0"/>
                <w:i w:val="0"/>
                <w:iCs w:val="0"/>
                <w:smallCaps w:val="0"/>
                <w:strike w:val="0"/>
                <w:color w:val="0645ad"/>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645ad"/>
                <w:sz w:val="16"/>
                <w:szCs w:val="16"/>
                <w:u w:val="none"/>
                <w:shd w:fill="auto" w:val="clear"/>
                <w:vertAlign w:val="baseline"/>
                <w:rtl w:val="0"/>
              </w:rPr>
              <w:t xml:space="preserve">https://pubmed.ncbi.nlm.nih.gov/41269248/</w:t>
            </w:r>
          </w:p>
        </w:tc>
      </w:tr>
      <w:tr>
        <w:trPr>
          <w:cantSplit w:val="0"/>
          <w:trHeight w:val="37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3.76007080078125" w:right="0" w:firstLine="0"/>
              <w:jc w:val="left"/>
              <w:rPr>
                <w:rFonts w:ascii="Arial" w:cs="Arial" w:eastAsia="Arial" w:hAnsi="Arial"/>
                <w:b w:val="0"/>
                <w:bCs w:val="0"/>
                <w:i w:val="0"/>
                <w:iCs w:val="0"/>
                <w:smallCaps w:val="0"/>
                <w:strike w:val="0"/>
                <w:color w:val="0645ad"/>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645ad"/>
                <w:sz w:val="16"/>
                <w:szCs w:val="16"/>
                <w:u w:val="none"/>
                <w:shd w:fill="auto" w:val="clear"/>
                <w:vertAlign w:val="baseline"/>
                <w:rtl w:val="0"/>
              </w:rPr>
              <w:t xml:space="preserve">PubMed — Study PMID 38577491 </w:t>
            </w:r>
          </w:p>
        </w:tc>
        <w:tc>
          <w:tcPr>
            <w:shd w:fill="auto" w:val="clear"/>
            <w:tcMar>
              <w:top w:w="100.0" w:type="dxa"/>
              <w:left w:w="100.0" w:type="dxa"/>
              <w:bottom w:w="100.0" w:type="dxa"/>
              <w:right w:w="100.0" w:type="dxa"/>
            </w:tcMar>
            <w:vAlign w:val="top"/>
          </w:tcPr>
          <w:p w:rsidR="00000000" w:rsidDel="00000000" w:rsidP="00000000" w:rsidRDefault="00000000" w:rsidRPr="00000000" w14:paraId="000004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0.3997802734375" w:right="0" w:firstLine="0"/>
              <w:jc w:val="left"/>
              <w:rPr>
                <w:rFonts w:ascii="Arial" w:cs="Arial" w:eastAsia="Arial" w:hAnsi="Arial"/>
                <w:b w:val="0"/>
                <w:bCs w:val="0"/>
                <w:i w:val="0"/>
                <w:iCs w:val="0"/>
                <w:smallCaps w:val="0"/>
                <w:strike w:val="0"/>
                <w:color w:val="0645ad"/>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645ad"/>
                <w:sz w:val="16"/>
                <w:szCs w:val="16"/>
                <w:u w:val="none"/>
                <w:shd w:fill="auto" w:val="clear"/>
                <w:vertAlign w:val="baseline"/>
                <w:rtl w:val="0"/>
              </w:rPr>
              <w:t xml:space="preserve">https://pubmed.ncbi.nlm.nih.gov/38577491/</w:t>
            </w:r>
          </w:p>
        </w:tc>
      </w:tr>
      <w:tr>
        <w:trPr>
          <w:cantSplit w:val="0"/>
          <w:trHeight w:val="58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64007568359375" w:right="0" w:firstLine="0"/>
              <w:jc w:val="left"/>
              <w:rPr>
                <w:rFonts w:ascii="Arial" w:cs="Arial" w:eastAsia="Arial" w:hAnsi="Arial"/>
                <w:b w:val="0"/>
                <w:bCs w:val="0"/>
                <w:i w:val="0"/>
                <w:iCs w:val="0"/>
                <w:smallCaps w:val="0"/>
                <w:strike w:val="0"/>
                <w:color w:val="0645ad"/>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645ad"/>
                <w:sz w:val="16"/>
                <w:szCs w:val="16"/>
                <w:u w:val="none"/>
                <w:shd w:fill="auto" w:val="clear"/>
                <w:vertAlign w:val="baseline"/>
                <w:rtl w:val="0"/>
              </w:rPr>
              <w:t xml:space="preserve">US EPA — Lead in Drinking Water </w:t>
            </w:r>
          </w:p>
        </w:tc>
        <w:tc>
          <w:tcPr>
            <w:shd w:fill="auto" w:val="clear"/>
            <w:tcMar>
              <w:top w:w="100.0" w:type="dxa"/>
              <w:left w:w="100.0" w:type="dxa"/>
              <w:bottom w:w="100.0" w:type="dxa"/>
              <w:right w:w="100.0" w:type="dxa"/>
            </w:tcMar>
            <w:vAlign w:val="top"/>
          </w:tcPr>
          <w:p w:rsidR="00000000" w:rsidDel="00000000" w:rsidP="00000000" w:rsidRDefault="00000000" w:rsidRPr="00000000" w14:paraId="000004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5.4533290863037" w:lineRule="auto"/>
              <w:ind w:left="120.3997802734375" w:right="94.64111328125" w:firstLine="0"/>
              <w:jc w:val="left"/>
              <w:rPr>
                <w:rFonts w:ascii="Arial" w:cs="Arial" w:eastAsia="Arial" w:hAnsi="Arial"/>
                <w:b w:val="0"/>
                <w:bCs w:val="0"/>
                <w:i w:val="0"/>
                <w:iCs w:val="0"/>
                <w:smallCaps w:val="0"/>
                <w:strike w:val="0"/>
                <w:color w:val="0645ad"/>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645ad"/>
                <w:sz w:val="16"/>
                <w:szCs w:val="16"/>
                <w:u w:val="none"/>
                <w:shd w:fill="auto" w:val="clear"/>
                <w:vertAlign w:val="baseline"/>
                <w:rtl w:val="0"/>
              </w:rPr>
              <w:t xml:space="preserve">https://www.epa.gov/ground-water-and-drinking-water/basic-informatio n-about-lead-drinking-water</w:t>
            </w:r>
          </w:p>
        </w:tc>
      </w:tr>
      <w:tr>
        <w:trPr>
          <w:cantSplit w:val="0"/>
          <w:trHeight w:val="58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3.76007080078125" w:right="0" w:firstLine="0"/>
              <w:jc w:val="left"/>
              <w:rPr>
                <w:rFonts w:ascii="Arial" w:cs="Arial" w:eastAsia="Arial" w:hAnsi="Arial"/>
                <w:b w:val="0"/>
                <w:bCs w:val="0"/>
                <w:i w:val="0"/>
                <w:iCs w:val="0"/>
                <w:smallCaps w:val="0"/>
                <w:strike w:val="0"/>
                <w:color w:val="0645ad"/>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645ad"/>
                <w:sz w:val="16"/>
                <w:szCs w:val="16"/>
                <w:u w:val="none"/>
                <w:shd w:fill="auto" w:val="clear"/>
                <w:vertAlign w:val="baseline"/>
                <w:rtl w:val="0"/>
              </w:rPr>
              <w:t xml:space="preserve">FDA/EPA — Fish Advice for Mercury </w:t>
            </w:r>
          </w:p>
        </w:tc>
        <w:tc>
          <w:tcPr>
            <w:shd w:fill="auto" w:val="clear"/>
            <w:tcMar>
              <w:top w:w="100.0" w:type="dxa"/>
              <w:left w:w="100.0" w:type="dxa"/>
              <w:bottom w:w="100.0" w:type="dxa"/>
              <w:right w:w="100.0" w:type="dxa"/>
            </w:tcMar>
            <w:vAlign w:val="top"/>
          </w:tcPr>
          <w:p w:rsidR="00000000" w:rsidDel="00000000" w:rsidP="00000000" w:rsidRDefault="00000000" w:rsidRPr="00000000" w14:paraId="000004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5.4533290863037" w:lineRule="auto"/>
              <w:ind w:left="116.400146484375" w:right="165.68115234375" w:firstLine="3.9996337890625"/>
              <w:jc w:val="left"/>
              <w:rPr>
                <w:rFonts w:ascii="Arial" w:cs="Arial" w:eastAsia="Arial" w:hAnsi="Arial"/>
                <w:b w:val="0"/>
                <w:bCs w:val="0"/>
                <w:i w:val="0"/>
                <w:iCs w:val="0"/>
                <w:smallCaps w:val="0"/>
                <w:strike w:val="0"/>
                <w:color w:val="0645ad"/>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645ad"/>
                <w:sz w:val="16"/>
                <w:szCs w:val="16"/>
                <w:u w:val="none"/>
                <w:shd w:fill="auto" w:val="clear"/>
                <w:vertAlign w:val="baseline"/>
                <w:rtl w:val="0"/>
              </w:rPr>
              <w:t xml:space="preserve">https://www.fda.gov/food/consumers/questions-answers-fish-and-mer cury</w:t>
            </w:r>
          </w:p>
        </w:tc>
      </w:tr>
      <w:tr>
        <w:trPr>
          <w:cantSplit w:val="0"/>
          <w:trHeight w:val="58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16000366210938" w:right="0" w:firstLine="0"/>
              <w:jc w:val="left"/>
              <w:rPr>
                <w:rFonts w:ascii="Arial" w:cs="Arial" w:eastAsia="Arial" w:hAnsi="Arial"/>
                <w:b w:val="0"/>
                <w:bCs w:val="0"/>
                <w:i w:val="0"/>
                <w:iCs w:val="0"/>
                <w:smallCaps w:val="0"/>
                <w:strike w:val="0"/>
                <w:color w:val="0645ad"/>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645ad"/>
                <w:sz w:val="16"/>
                <w:szCs w:val="16"/>
                <w:u w:val="none"/>
                <w:shd w:fill="auto" w:val="clear"/>
                <w:vertAlign w:val="baseline"/>
                <w:rtl w:val="0"/>
              </w:rPr>
              <w:t xml:space="preserve">2023 AGS Beers Criteria (American Geriatrics Society) </w:t>
            </w:r>
          </w:p>
        </w:tc>
        <w:tc>
          <w:tcPr>
            <w:shd w:fill="auto" w:val="clear"/>
            <w:tcMar>
              <w:top w:w="100.0" w:type="dxa"/>
              <w:left w:w="100.0" w:type="dxa"/>
              <w:bottom w:w="100.0" w:type="dxa"/>
              <w:right w:w="100.0" w:type="dxa"/>
            </w:tcMar>
            <w:vAlign w:val="top"/>
          </w:tcPr>
          <w:p w:rsidR="00000000" w:rsidDel="00000000" w:rsidP="00000000" w:rsidRDefault="00000000" w:rsidRPr="00000000" w14:paraId="000004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5.4533290863037" w:lineRule="auto"/>
              <w:ind w:left="117.039794921875" w:right="139.12109375" w:firstLine="3.3599853515625"/>
              <w:jc w:val="left"/>
              <w:rPr>
                <w:rFonts w:ascii="Arial" w:cs="Arial" w:eastAsia="Arial" w:hAnsi="Arial"/>
                <w:b w:val="0"/>
                <w:bCs w:val="0"/>
                <w:i w:val="0"/>
                <w:iCs w:val="0"/>
                <w:smallCaps w:val="0"/>
                <w:strike w:val="0"/>
                <w:color w:val="0645ad"/>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645ad"/>
                <w:sz w:val="16"/>
                <w:szCs w:val="16"/>
                <w:u w:val="none"/>
                <w:shd w:fill="auto" w:val="clear"/>
                <w:vertAlign w:val="baseline"/>
                <w:rtl w:val="0"/>
              </w:rPr>
              <w:t xml:space="preserve">https://www.americangeriatrics.org/press-releases/updated-ags-beers -criteria-2023</w:t>
            </w:r>
          </w:p>
        </w:tc>
      </w:tr>
      <w:tr>
        <w:trPr>
          <w:cantSplit w:val="0"/>
          <w:trHeight w:val="58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1600341796875" w:right="0" w:firstLine="0"/>
              <w:jc w:val="left"/>
              <w:rPr>
                <w:rFonts w:ascii="Arial" w:cs="Arial" w:eastAsia="Arial" w:hAnsi="Arial"/>
                <w:b w:val="0"/>
                <w:bCs w:val="0"/>
                <w:i w:val="0"/>
                <w:iCs w:val="0"/>
                <w:smallCaps w:val="0"/>
                <w:strike w:val="0"/>
                <w:color w:val="0645ad"/>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645ad"/>
                <w:sz w:val="16"/>
                <w:szCs w:val="16"/>
                <w:u w:val="none"/>
                <w:shd w:fill="auto" w:val="clear"/>
                <w:vertAlign w:val="baseline"/>
                <w:rtl w:val="0"/>
              </w:rPr>
              <w:t xml:space="preserve">NIA — Genetics Fact Sheet on APOE </w:t>
            </w:r>
          </w:p>
        </w:tc>
        <w:tc>
          <w:tcPr>
            <w:shd w:fill="auto" w:val="clear"/>
            <w:tcMar>
              <w:top w:w="100.0" w:type="dxa"/>
              <w:left w:w="100.0" w:type="dxa"/>
              <w:bottom w:w="100.0" w:type="dxa"/>
              <w:right w:w="100.0" w:type="dxa"/>
            </w:tcMar>
            <w:vAlign w:val="top"/>
          </w:tcPr>
          <w:p w:rsidR="00000000" w:rsidDel="00000000" w:rsidP="00000000" w:rsidRDefault="00000000" w:rsidRPr="00000000" w14:paraId="000004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5.4533290863037" w:lineRule="auto"/>
              <w:ind w:left="120.3997802734375" w:right="165.841064453125" w:firstLine="0"/>
              <w:jc w:val="left"/>
              <w:rPr>
                <w:rFonts w:ascii="Arial" w:cs="Arial" w:eastAsia="Arial" w:hAnsi="Arial"/>
                <w:b w:val="0"/>
                <w:bCs w:val="0"/>
                <w:i w:val="0"/>
                <w:iCs w:val="0"/>
                <w:smallCaps w:val="0"/>
                <w:strike w:val="0"/>
                <w:color w:val="0645ad"/>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645ad"/>
                <w:sz w:val="16"/>
                <w:szCs w:val="16"/>
                <w:u w:val="none"/>
                <w:shd w:fill="auto" w:val="clear"/>
                <w:vertAlign w:val="baseline"/>
                <w:rtl w:val="0"/>
              </w:rPr>
              <w:t xml:space="preserve">https://www.nia.nih.gov/health/alzheimers-causes-and-risk-factors/alz heimers-disease-genetics-fact-sheet</w:t>
            </w:r>
          </w:p>
        </w:tc>
      </w:tr>
      <w:tr>
        <w:trPr>
          <w:cantSplit w:val="0"/>
          <w:trHeight w:val="37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1600341796875" w:right="0" w:firstLine="0"/>
              <w:jc w:val="left"/>
              <w:rPr>
                <w:rFonts w:ascii="Arial" w:cs="Arial" w:eastAsia="Arial" w:hAnsi="Arial"/>
                <w:b w:val="0"/>
                <w:bCs w:val="0"/>
                <w:i w:val="0"/>
                <w:iCs w:val="0"/>
                <w:smallCaps w:val="0"/>
                <w:strike w:val="0"/>
                <w:color w:val="0645ad"/>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645ad"/>
                <w:sz w:val="16"/>
                <w:szCs w:val="16"/>
                <w:u w:val="none"/>
                <w:shd w:fill="auto" w:val="clear"/>
                <w:vertAlign w:val="baseline"/>
                <w:rtl w:val="0"/>
              </w:rPr>
              <w:t xml:space="preserve">NEJM — REVEAL Study on APOE Disclosure </w:t>
            </w:r>
          </w:p>
        </w:tc>
        <w:tc>
          <w:tcPr>
            <w:shd w:fill="auto" w:val="clear"/>
            <w:tcMar>
              <w:top w:w="100.0" w:type="dxa"/>
              <w:left w:w="100.0" w:type="dxa"/>
              <w:bottom w:w="100.0" w:type="dxa"/>
              <w:right w:w="100.0" w:type="dxa"/>
            </w:tcMar>
            <w:vAlign w:val="top"/>
          </w:tcPr>
          <w:p w:rsidR="00000000" w:rsidDel="00000000" w:rsidP="00000000" w:rsidRDefault="00000000" w:rsidRPr="00000000" w14:paraId="000004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0.3997802734375" w:right="0" w:firstLine="0"/>
              <w:jc w:val="left"/>
              <w:rPr>
                <w:rFonts w:ascii="Arial" w:cs="Arial" w:eastAsia="Arial" w:hAnsi="Arial"/>
                <w:b w:val="0"/>
                <w:bCs w:val="0"/>
                <w:i w:val="0"/>
                <w:iCs w:val="0"/>
                <w:smallCaps w:val="0"/>
                <w:strike w:val="0"/>
                <w:color w:val="0645ad"/>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645ad"/>
                <w:sz w:val="16"/>
                <w:szCs w:val="16"/>
                <w:u w:val="none"/>
                <w:shd w:fill="auto" w:val="clear"/>
                <w:vertAlign w:val="baseline"/>
                <w:rtl w:val="0"/>
              </w:rPr>
              <w:t xml:space="preserve">https://www.nejm.org/doi/full/10.1056/NEJMoa0806906</w:t>
            </w:r>
          </w:p>
        </w:tc>
      </w:tr>
      <w:tr>
        <w:trPr>
          <w:cantSplit w:val="0"/>
          <w:trHeight w:val="37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239990234375" w:right="0" w:firstLine="0"/>
              <w:jc w:val="left"/>
              <w:rPr>
                <w:rFonts w:ascii="Arial" w:cs="Arial" w:eastAsia="Arial" w:hAnsi="Arial"/>
                <w:b w:val="0"/>
                <w:bCs w:val="0"/>
                <w:i w:val="0"/>
                <w:iCs w:val="0"/>
                <w:smallCaps w:val="0"/>
                <w:strike w:val="0"/>
                <w:color w:val="0645ad"/>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645ad"/>
                <w:sz w:val="16"/>
                <w:szCs w:val="16"/>
                <w:u w:val="none"/>
                <w:shd w:fill="auto" w:val="clear"/>
                <w:vertAlign w:val="baseline"/>
                <w:rtl w:val="0"/>
              </w:rPr>
              <w:t xml:space="preserve">Alzheimer's Association — alz.org (home) </w:t>
            </w:r>
          </w:p>
        </w:tc>
        <w:tc>
          <w:tcPr>
            <w:shd w:fill="auto" w:val="clear"/>
            <w:tcMar>
              <w:top w:w="100.0" w:type="dxa"/>
              <w:left w:w="100.0" w:type="dxa"/>
              <w:bottom w:w="100.0" w:type="dxa"/>
              <w:right w:w="100.0" w:type="dxa"/>
            </w:tcMar>
            <w:vAlign w:val="top"/>
          </w:tcPr>
          <w:p w:rsidR="00000000" w:rsidDel="00000000" w:rsidP="00000000" w:rsidRDefault="00000000" w:rsidRPr="00000000" w14:paraId="000004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0.3997802734375" w:right="0" w:firstLine="0"/>
              <w:jc w:val="left"/>
              <w:rPr>
                <w:rFonts w:ascii="Arial" w:cs="Arial" w:eastAsia="Arial" w:hAnsi="Arial"/>
                <w:b w:val="0"/>
                <w:bCs w:val="0"/>
                <w:i w:val="0"/>
                <w:iCs w:val="0"/>
                <w:smallCaps w:val="0"/>
                <w:strike w:val="0"/>
                <w:color w:val="0645ad"/>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645ad"/>
                <w:sz w:val="16"/>
                <w:szCs w:val="16"/>
                <w:u w:val="none"/>
                <w:shd w:fill="auto" w:val="clear"/>
                <w:vertAlign w:val="baseline"/>
                <w:rtl w:val="0"/>
              </w:rPr>
              <w:t xml:space="preserve">https://www.alz.org</w:t>
            </w:r>
          </w:p>
        </w:tc>
      </w:tr>
    </w:tbl>
    <w:p w:rsidR="00000000" w:rsidDel="00000000" w:rsidP="00000000" w:rsidRDefault="00000000" w:rsidRPr="00000000" w14:paraId="000004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3.2279586791992" w:lineRule="auto"/>
        <w:ind w:left="63.81004333496094" w:right="254.805908203125" w:hanging="3.48602294921875"/>
        <w:jc w:val="left"/>
        <w:rPr>
          <w:rFonts w:ascii="Arial" w:cs="Arial" w:eastAsia="Arial" w:hAnsi="Arial"/>
          <w:b w:val="0"/>
          <w:bCs w:val="0"/>
          <w:i w:val="0"/>
          <w:iCs w:val="0"/>
          <w:smallCaps w:val="0"/>
          <w:strike w:val="0"/>
          <w:color w:val="5a5a5a"/>
          <w:sz w:val="16.600000381469727"/>
          <w:szCs w:val="16.600000381469727"/>
          <w:u w:val="none"/>
          <w:shd w:fill="auto" w:val="clear"/>
          <w:vertAlign w:val="baseline"/>
        </w:rPr>
      </w:pPr>
      <w:r w:rsidDel="00000000" w:rsidR="00000000" w:rsidRPr="00000000">
        <w:rPr>
          <w:rFonts w:ascii="Arial" w:cs="Arial" w:eastAsia="Arial" w:hAnsi="Arial"/>
          <w:b w:val="0"/>
          <w:bCs w:val="0"/>
          <w:i w:val="0"/>
          <w:iCs w:val="0"/>
          <w:smallCaps w:val="0"/>
          <w:strike w:val="0"/>
          <w:color w:val="5a5a5a"/>
          <w:sz w:val="16.600000381469727"/>
          <w:szCs w:val="16.600000381469727"/>
          <w:u w:val="none"/>
          <w:shd w:fill="auto" w:val="clear"/>
          <w:vertAlign w:val="baseline"/>
          <w:rtl w:val="0"/>
        </w:rPr>
        <w:t xml:space="preserve">All links were verified as live and pointing to their canonical source page at the time this guide was produced. Government and .gov domains (NIA, alzheimers.gov, EPA, FDA), academic institutions, and major journal/publisher domains (Lancet, PMC, PubMed, NEJM) are the most stable long-term; news-site links may be reorganized over time.</w:t>
      </w:r>
    </w:p>
    <w:sectPr>
      <w:pgSz w:h="15840" w:w="12240" w:orient="portrait"/>
      <w:pgMar w:bottom="1523.9999389648438" w:top="1190" w:left="1141.9999694824219" w:right="1162.000732421875"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0">
    <w:basedOn w:val="TableNormal"/>
    <w:tblPr>
      <w:tblStyleRowBandSize w:val="1"/>
      <w:tblStyleColBandSize w:val="1"/>
    </w:tblPr>
  </w:style>
  <w:style w:type="table" w:styleId="Table11">
    <w:basedOn w:val="TableNormal"/>
    <w:tblPr>
      <w:tblStyleRowBandSize w:val="1"/>
      <w:tblStyleColBandSize w:val="1"/>
    </w:tblPr>
  </w:style>
  <w:style w:type="table" w:styleId="Table12">
    <w:basedOn w:val="TableNormal"/>
    <w:tblPr>
      <w:tblStyleRowBandSize w:val="1"/>
      <w:tblStyleColBandSize w:val="1"/>
    </w:tblPr>
  </w:style>
  <w:style w:type="table" w:styleId="Table13">
    <w:basedOn w:val="TableNormal"/>
    <w:tblPr>
      <w:tblStyleRowBandSize w:val="1"/>
      <w:tblStyleColBandSize w:val="1"/>
    </w:tblPr>
  </w:style>
  <w:style w:type="table" w:styleId="Table14">
    <w:basedOn w:val="TableNormal"/>
    <w:tblPr>
      <w:tblStyleRowBandSize w:val="1"/>
      <w:tblStyleColBandSize w:val="1"/>
    </w:tblPr>
  </w:style>
  <w:style w:type="table" w:styleId="Table15">
    <w:basedOn w:val="TableNormal"/>
    <w:tblPr>
      <w:tblStyleRowBandSize w:val="1"/>
      <w:tblStyleColBandSize w:val="1"/>
    </w:tblPr>
  </w:style>
  <w:style w:type="table" w:styleId="Table16">
    <w:basedOn w:val="TableNormal"/>
    <w:tblPr>
      <w:tblStyleRowBandSize w:val="1"/>
      <w:tblStyleColBandSize w:val="1"/>
    </w:tblPr>
  </w:style>
  <w:style w:type="table" w:styleId="Table17">
    <w:basedOn w:val="TableNormal"/>
    <w:tblPr>
      <w:tblStyleRowBandSize w:val="1"/>
      <w:tblStyleColBandSize w:val="1"/>
    </w:tblPr>
  </w:style>
  <w:style w:type="table" w:styleId="Table18">
    <w:basedOn w:val="TableNormal"/>
    <w:tblPr>
      <w:tblStyleRowBandSize w:val="1"/>
      <w:tblStyleColBandSize w:val="1"/>
    </w:tblPr>
  </w:style>
  <w:style w:type="table" w:styleId="Table19">
    <w:basedOn w:val="TableNormal"/>
    <w:tblPr>
      <w:tblStyleRowBandSize w:val="1"/>
      <w:tblStyleColBandSize w:val="1"/>
    </w:tblPr>
  </w:style>
  <w:style w:type="table" w:styleId="Table20">
    <w:basedOn w:val="TableNormal"/>
    <w:tblPr>
      <w:tblStyleRowBandSize w:val="1"/>
      <w:tblStyleColBandSize w:val="1"/>
    </w:tblPr>
  </w:style>
  <w:style w:type="table" w:styleId="Table21">
    <w:basedOn w:val="TableNormal"/>
    <w:tblPr>
      <w:tblStyleRowBandSize w:val="1"/>
      <w:tblStyleColBandSize w:val="1"/>
    </w:tblPr>
  </w:style>
  <w:style w:type="table" w:styleId="Table22">
    <w:basedOn w:val="TableNormal"/>
    <w:tblPr>
      <w:tblStyleRowBandSize w:val="1"/>
      <w:tblStyleColBandSize w:val="1"/>
    </w:tblPr>
  </w:style>
  <w:style w:type="table" w:styleId="Table23">
    <w:basedOn w:val="TableNormal"/>
    <w:tblPr>
      <w:tblStyleRowBandSize w:val="1"/>
      <w:tblStyleColBandSize w:val="1"/>
    </w:tblPr>
  </w:style>
  <w:style w:type="table" w:styleId="Table24">
    <w:basedOn w:val="TableNormal"/>
    <w:tblPr>
      <w:tblStyleRowBandSize w:val="1"/>
      <w:tblStyleColBandSize w:val="1"/>
    </w:tblPr>
  </w:style>
  <w:style w:type="table" w:styleId="Table25">
    <w:basedOn w:val="TableNormal"/>
    <w:tblPr>
      <w:tblStyleRowBandSize w:val="1"/>
      <w:tblStyleColBandSize w:val="1"/>
    </w:tblPr>
  </w:style>
  <w:style w:type="table" w:styleId="Table26">
    <w:basedOn w:val="TableNormal"/>
    <w:tblPr>
      <w:tblStyleRowBandSize w:val="1"/>
      <w:tblStyleColBandSize w:val="1"/>
    </w:tblPr>
  </w:style>
  <w:style w:type="table" w:styleId="Table27">
    <w:basedOn w:val="TableNormal"/>
    <w:tblPr>
      <w:tblStyleRowBandSize w:val="1"/>
      <w:tblStyleColBandSize w:val="1"/>
    </w:tblPr>
  </w:style>
  <w:style w:type="table" w:styleId="Table28">
    <w:basedOn w:val="TableNormal"/>
    <w:tblPr>
      <w:tblStyleRowBandSize w:val="1"/>
      <w:tblStyleColBandSize w:val="1"/>
    </w:tblPr>
  </w:style>
  <w:style w:type="table" w:styleId="Table29">
    <w:basedOn w:val="TableNormal"/>
    <w:tblPr>
      <w:tblStyleRowBandSize w:val="1"/>
      <w:tblStyleColBandSize w:val="1"/>
    </w:tblPr>
  </w:style>
  <w:style w:type="table" w:styleId="Table30">
    <w:basedOn w:val="TableNormal"/>
    <w:tblPr>
      <w:tblStyleRowBandSize w:val="1"/>
      <w:tblStyleColBandSize w:val="1"/>
    </w:tblPr>
  </w:style>
  <w:style w:type="table" w:styleId="Table3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